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7F1" w:rsidRPr="003A32C0" w:rsidRDefault="000E57F1" w:rsidP="00ED146F"/>
    <w:p w:rsidR="0015240C" w:rsidRPr="003A32C0" w:rsidRDefault="0015240C" w:rsidP="00ED146F"/>
    <w:p w:rsidR="0015240C" w:rsidRPr="00E27422" w:rsidRDefault="0015240C" w:rsidP="00E27422">
      <w:pPr>
        <w:jc w:val="center"/>
        <w:rPr>
          <w:b/>
          <w:sz w:val="36"/>
        </w:rPr>
      </w:pPr>
    </w:p>
    <w:p w:rsidR="00F62F36" w:rsidRPr="00E27422" w:rsidRDefault="00F62F36" w:rsidP="00E27422">
      <w:pPr>
        <w:jc w:val="center"/>
        <w:rPr>
          <w:b/>
          <w:sz w:val="36"/>
        </w:rPr>
      </w:pPr>
    </w:p>
    <w:p w:rsidR="0015240C" w:rsidRPr="00E27422" w:rsidRDefault="00371707" w:rsidP="00E27422">
      <w:pPr>
        <w:jc w:val="center"/>
        <w:rPr>
          <w:b/>
          <w:sz w:val="36"/>
        </w:rPr>
      </w:pPr>
      <w:r w:rsidRPr="00E27422">
        <w:rPr>
          <w:b/>
          <w:sz w:val="36"/>
        </w:rPr>
        <w:t>Co</w:t>
      </w:r>
      <w:r w:rsidR="002259AC" w:rsidRPr="00E27422">
        <w:rPr>
          <w:b/>
          <w:sz w:val="36"/>
        </w:rPr>
        <w:t>mplementary Healthcare Council of Australia</w:t>
      </w:r>
    </w:p>
    <w:p w:rsidR="0008174A" w:rsidRPr="00E27422" w:rsidRDefault="00011476" w:rsidP="00E27422">
      <w:pPr>
        <w:jc w:val="center"/>
        <w:rPr>
          <w:b/>
          <w:sz w:val="36"/>
        </w:rPr>
      </w:pPr>
      <w:r w:rsidRPr="00E27422">
        <w:rPr>
          <w:b/>
          <w:sz w:val="36"/>
        </w:rPr>
        <w:t>White Paper</w:t>
      </w:r>
    </w:p>
    <w:p w:rsidR="00011476" w:rsidRPr="00E27422" w:rsidRDefault="00011476" w:rsidP="00E27422">
      <w:pPr>
        <w:jc w:val="center"/>
        <w:rPr>
          <w:b/>
          <w:sz w:val="36"/>
        </w:rPr>
      </w:pPr>
    </w:p>
    <w:p w:rsidR="0015240C" w:rsidRPr="00E27422" w:rsidRDefault="0008174A" w:rsidP="00E27422">
      <w:pPr>
        <w:jc w:val="center"/>
        <w:rPr>
          <w:b/>
          <w:sz w:val="32"/>
        </w:rPr>
      </w:pPr>
      <w:r w:rsidRPr="00E27422">
        <w:rPr>
          <w:b/>
          <w:sz w:val="32"/>
        </w:rPr>
        <w:t xml:space="preserve">Registration of </w:t>
      </w:r>
      <w:r w:rsidR="00AF235F" w:rsidRPr="00E27422">
        <w:rPr>
          <w:b/>
          <w:sz w:val="32"/>
        </w:rPr>
        <w:t>Naturopaths</w:t>
      </w:r>
      <w:r w:rsidRPr="00E27422">
        <w:rPr>
          <w:b/>
          <w:sz w:val="32"/>
        </w:rPr>
        <w:t xml:space="preserve"> &amp; </w:t>
      </w:r>
      <w:r w:rsidR="009D57A9" w:rsidRPr="00E27422">
        <w:rPr>
          <w:b/>
          <w:sz w:val="32"/>
        </w:rPr>
        <w:t>Western Herbal Medicine</w:t>
      </w:r>
      <w:r w:rsidR="00A94E18" w:rsidRPr="00E27422">
        <w:rPr>
          <w:b/>
          <w:sz w:val="32"/>
        </w:rPr>
        <w:t xml:space="preserve"> </w:t>
      </w:r>
      <w:r w:rsidRPr="00E27422">
        <w:rPr>
          <w:b/>
          <w:sz w:val="32"/>
        </w:rPr>
        <w:t>P</w:t>
      </w:r>
      <w:r w:rsidR="00A94E18" w:rsidRPr="00E27422">
        <w:rPr>
          <w:b/>
          <w:sz w:val="32"/>
        </w:rPr>
        <w:t>ractitioner</w:t>
      </w:r>
      <w:r w:rsidRPr="00E27422">
        <w:rPr>
          <w:b/>
          <w:sz w:val="32"/>
        </w:rPr>
        <w:t>s</w:t>
      </w:r>
      <w:r w:rsidR="00A94E18" w:rsidRPr="00E27422">
        <w:rPr>
          <w:b/>
          <w:sz w:val="32"/>
        </w:rPr>
        <w:t>:</w:t>
      </w:r>
    </w:p>
    <w:p w:rsidR="0008174A" w:rsidRPr="00E27422" w:rsidRDefault="00A94E18" w:rsidP="00E27422">
      <w:pPr>
        <w:jc w:val="center"/>
        <w:rPr>
          <w:b/>
          <w:sz w:val="32"/>
        </w:rPr>
      </w:pPr>
      <w:r w:rsidRPr="00E27422">
        <w:rPr>
          <w:b/>
          <w:sz w:val="32"/>
        </w:rPr>
        <w:t>P</w:t>
      </w:r>
      <w:r w:rsidR="0008174A" w:rsidRPr="00E27422">
        <w:rPr>
          <w:b/>
          <w:sz w:val="32"/>
        </w:rPr>
        <w:t xml:space="preserve">rotecting </w:t>
      </w:r>
      <w:r w:rsidRPr="00E27422">
        <w:rPr>
          <w:b/>
          <w:sz w:val="32"/>
        </w:rPr>
        <w:t xml:space="preserve">Public Health </w:t>
      </w:r>
      <w:r w:rsidR="0008174A" w:rsidRPr="00E27422">
        <w:rPr>
          <w:b/>
          <w:sz w:val="32"/>
        </w:rPr>
        <w:t xml:space="preserve">and </w:t>
      </w:r>
      <w:r w:rsidRPr="00E27422">
        <w:rPr>
          <w:b/>
          <w:sz w:val="32"/>
        </w:rPr>
        <w:t>Rights</w:t>
      </w:r>
    </w:p>
    <w:p w:rsidR="0015240C" w:rsidRPr="00E27422" w:rsidRDefault="0015240C" w:rsidP="00E27422">
      <w:pPr>
        <w:jc w:val="center"/>
        <w:rPr>
          <w:b/>
          <w:sz w:val="36"/>
        </w:rPr>
      </w:pPr>
    </w:p>
    <w:p w:rsidR="002259AC" w:rsidRDefault="002259AC" w:rsidP="00E27422">
      <w:pPr>
        <w:jc w:val="center"/>
        <w:rPr>
          <w:b/>
          <w:sz w:val="36"/>
        </w:rPr>
      </w:pPr>
    </w:p>
    <w:p w:rsidR="00E27422" w:rsidRDefault="00E27422" w:rsidP="00E27422">
      <w:pPr>
        <w:jc w:val="center"/>
        <w:rPr>
          <w:b/>
          <w:sz w:val="36"/>
        </w:rPr>
      </w:pPr>
    </w:p>
    <w:p w:rsidR="00E27422" w:rsidRDefault="00E27422" w:rsidP="00E27422">
      <w:pPr>
        <w:jc w:val="center"/>
        <w:rPr>
          <w:b/>
          <w:sz w:val="36"/>
        </w:rPr>
      </w:pPr>
    </w:p>
    <w:p w:rsidR="00E27422" w:rsidRDefault="00E27422" w:rsidP="00E27422">
      <w:pPr>
        <w:jc w:val="center"/>
        <w:rPr>
          <w:b/>
          <w:sz w:val="36"/>
        </w:rPr>
      </w:pPr>
    </w:p>
    <w:p w:rsidR="00E27422" w:rsidRDefault="00E27422" w:rsidP="00E27422">
      <w:pPr>
        <w:jc w:val="center"/>
        <w:rPr>
          <w:b/>
          <w:sz w:val="36"/>
        </w:rPr>
      </w:pPr>
    </w:p>
    <w:p w:rsidR="00E27422" w:rsidRDefault="00E27422" w:rsidP="00E27422">
      <w:pPr>
        <w:jc w:val="center"/>
        <w:rPr>
          <w:b/>
          <w:sz w:val="36"/>
        </w:rPr>
      </w:pPr>
    </w:p>
    <w:p w:rsidR="00011476" w:rsidRDefault="00011476" w:rsidP="00ED146F"/>
    <w:p w:rsidR="00011476" w:rsidRPr="00865EEE" w:rsidRDefault="00011476" w:rsidP="00ED146F"/>
    <w:p w:rsidR="0015240C" w:rsidRPr="00865EEE" w:rsidRDefault="0008174A" w:rsidP="00ED146F">
      <w:r>
        <w:t>May</w:t>
      </w:r>
      <w:r w:rsidR="0015240C" w:rsidRPr="00865EEE">
        <w:t xml:space="preserve"> 201</w:t>
      </w:r>
      <w:r w:rsidR="00C11F11" w:rsidRPr="00865EEE">
        <w:t>3</w:t>
      </w:r>
    </w:p>
    <w:p w:rsidR="0015240C" w:rsidRDefault="0015240C" w:rsidP="00ED146F"/>
    <w:p w:rsidR="0015240C" w:rsidRPr="003A32C0" w:rsidRDefault="00C8376E" w:rsidP="00ED146F">
      <w:r w:rsidRPr="003A32C0">
        <w:t xml:space="preserve">Dr </w:t>
      </w:r>
      <w:r w:rsidR="0015240C" w:rsidRPr="003A32C0">
        <w:t>Wendy Morrow</w:t>
      </w:r>
    </w:p>
    <w:p w:rsidR="00D03167" w:rsidRPr="003A32C0" w:rsidRDefault="00D36BA2" w:rsidP="00ED146F">
      <w:r w:rsidRPr="003A32C0">
        <w:t>Chief Executive Officer</w:t>
      </w:r>
    </w:p>
    <w:p w:rsidR="002259AC" w:rsidRDefault="00C8376E" w:rsidP="00ED146F">
      <w:r w:rsidRPr="003A32C0">
        <w:t xml:space="preserve">Complementary Healthcare Council of Australia </w:t>
      </w:r>
    </w:p>
    <w:p w:rsidR="002259AC" w:rsidRDefault="002259AC" w:rsidP="00ED146F"/>
    <w:p w:rsidR="009E7A1D" w:rsidRDefault="009E7A1D" w:rsidP="00ED146F"/>
    <w:p w:rsidR="009E7A1D" w:rsidRDefault="009E7A1D" w:rsidP="00ED146F"/>
    <w:p w:rsidR="00011476" w:rsidRDefault="00011476" w:rsidP="00ED146F"/>
    <w:p w:rsidR="00011476" w:rsidRDefault="00011476" w:rsidP="00ED146F"/>
    <w:p w:rsidR="00011476" w:rsidRDefault="00011476" w:rsidP="00ED146F"/>
    <w:p w:rsidR="009E7A1D" w:rsidRDefault="009E7A1D" w:rsidP="00ED146F"/>
    <w:p w:rsidR="009E7A1D" w:rsidRDefault="009E7A1D" w:rsidP="00ED146F"/>
    <w:p w:rsidR="009E7A1D" w:rsidRDefault="009E7A1D" w:rsidP="00ED146F"/>
    <w:p w:rsidR="00823B37" w:rsidRDefault="00823B37" w:rsidP="00ED146F"/>
    <w:p w:rsidR="00823B37" w:rsidRDefault="00823B37" w:rsidP="00ED146F"/>
    <w:p w:rsidR="00823B37" w:rsidRDefault="00823B37" w:rsidP="00ED146F"/>
    <w:p w:rsidR="00823B37" w:rsidRDefault="00823B37" w:rsidP="00ED146F"/>
    <w:p w:rsidR="00823B37" w:rsidRDefault="00823B37" w:rsidP="00ED146F"/>
    <w:p w:rsidR="00823B37" w:rsidRDefault="00823B37" w:rsidP="00ED146F"/>
    <w:p w:rsidR="00823B37" w:rsidRDefault="00823B37" w:rsidP="00ED146F"/>
    <w:p w:rsidR="00823B37" w:rsidRDefault="00823B37" w:rsidP="00ED146F"/>
    <w:p w:rsidR="004116F8" w:rsidRDefault="004116F8" w:rsidP="00ED146F"/>
    <w:p w:rsidR="004116F8" w:rsidRDefault="004116F8" w:rsidP="00ED146F"/>
    <w:p w:rsidR="008B26D6" w:rsidRDefault="008B26D6" w:rsidP="00ED146F"/>
    <w:p w:rsidR="004116F8" w:rsidRDefault="004116F8" w:rsidP="00ED146F"/>
    <w:p w:rsidR="00F639A0" w:rsidRPr="003A32C0" w:rsidRDefault="00F639A0" w:rsidP="00823B37">
      <w:pPr>
        <w:spacing w:before="0" w:after="0"/>
        <w:rPr>
          <w:rFonts w:cs="Arial"/>
          <w:b/>
        </w:rPr>
      </w:pPr>
      <w:r w:rsidRPr="003A32C0">
        <w:rPr>
          <w:b/>
        </w:rPr>
        <w:t xml:space="preserve">Title: </w:t>
      </w:r>
      <w:r w:rsidR="006E5549">
        <w:t>Complementary Healthcare Council of Australia</w:t>
      </w:r>
      <w:r w:rsidRPr="003A32C0">
        <w:rPr>
          <w:b/>
        </w:rPr>
        <w:t xml:space="preserve"> </w:t>
      </w:r>
      <w:r w:rsidR="005F7F46">
        <w:t xml:space="preserve">White </w:t>
      </w:r>
      <w:r w:rsidR="005F7F46" w:rsidRPr="005F7F46">
        <w:t>Paper on</w:t>
      </w:r>
      <w:r w:rsidR="005F7F46">
        <w:rPr>
          <w:b/>
        </w:rPr>
        <w:t xml:space="preserve"> </w:t>
      </w:r>
      <w:r w:rsidR="005F7F46" w:rsidRPr="005F7F46">
        <w:t xml:space="preserve">Registration of </w:t>
      </w:r>
      <w:r w:rsidR="00AF235F">
        <w:t>Naturopaths</w:t>
      </w:r>
      <w:r w:rsidR="005F7F46" w:rsidRPr="005F7F46">
        <w:t xml:space="preserve"> &amp; </w:t>
      </w:r>
      <w:r w:rsidR="009D57A9">
        <w:t>Western Herbal Medicine</w:t>
      </w:r>
      <w:r w:rsidR="005F7F46" w:rsidRPr="005F7F46">
        <w:t xml:space="preserve"> Practitioners:</w:t>
      </w:r>
      <w:r w:rsidR="005F7F46">
        <w:t xml:space="preserve"> </w:t>
      </w:r>
      <w:r w:rsidR="005F7F46" w:rsidRPr="005F7F46">
        <w:t>Protecting Public Health and Rights</w:t>
      </w:r>
    </w:p>
    <w:p w:rsidR="00F639A0" w:rsidRPr="003A32C0" w:rsidRDefault="00F639A0" w:rsidP="00823B37">
      <w:pPr>
        <w:spacing w:before="0" w:after="0"/>
      </w:pPr>
      <w:r w:rsidRPr="003A32C0">
        <w:t xml:space="preserve">Publication date: </w:t>
      </w:r>
      <w:r w:rsidR="005F7F46">
        <w:t>May</w:t>
      </w:r>
      <w:r w:rsidRPr="003A32C0">
        <w:t xml:space="preserve"> 201</w:t>
      </w:r>
      <w:r w:rsidR="00C11F11" w:rsidRPr="003A32C0">
        <w:t>3</w:t>
      </w:r>
    </w:p>
    <w:p w:rsidR="00F639A0" w:rsidRPr="003A32C0" w:rsidRDefault="00F639A0" w:rsidP="00823B37">
      <w:pPr>
        <w:spacing w:before="0" w:after="0"/>
      </w:pPr>
      <w:r w:rsidRPr="003A32C0">
        <w:t xml:space="preserve">ISBN: </w:t>
      </w:r>
    </w:p>
    <w:p w:rsidR="00F639A0" w:rsidRPr="003A32C0" w:rsidRDefault="00F639A0" w:rsidP="00823B37">
      <w:pPr>
        <w:spacing w:before="0" w:after="0"/>
      </w:pPr>
      <w:r w:rsidRPr="003A32C0">
        <w:rPr>
          <w:b/>
        </w:rPr>
        <w:t>Published by:</w:t>
      </w:r>
      <w:r w:rsidRPr="003A32C0">
        <w:rPr>
          <w:b/>
        </w:rPr>
        <w:tab/>
      </w:r>
      <w:r w:rsidRPr="003A32C0">
        <w:t>Complementary Healthcare Council of Australia</w:t>
      </w:r>
    </w:p>
    <w:p w:rsidR="00F639A0" w:rsidRPr="003A32C0" w:rsidRDefault="00F639A0" w:rsidP="00823B37">
      <w:pPr>
        <w:spacing w:before="0" w:after="0"/>
      </w:pPr>
      <w:r w:rsidRPr="003A32C0">
        <w:tab/>
      </w:r>
      <w:r w:rsidR="00184DF4">
        <w:tab/>
      </w:r>
      <w:r w:rsidRPr="003A32C0">
        <w:t>PO Box 450</w:t>
      </w:r>
    </w:p>
    <w:p w:rsidR="00F639A0" w:rsidRPr="003A32C0" w:rsidRDefault="00F639A0" w:rsidP="00823B37">
      <w:pPr>
        <w:spacing w:before="0" w:after="0"/>
      </w:pPr>
      <w:r w:rsidRPr="003A32C0">
        <w:tab/>
      </w:r>
      <w:r w:rsidRPr="003A32C0">
        <w:tab/>
        <w:t>Mawson, ACT 2606</w:t>
      </w:r>
    </w:p>
    <w:p w:rsidR="00F639A0" w:rsidRPr="003A32C0" w:rsidRDefault="00F639A0" w:rsidP="00823B37">
      <w:pPr>
        <w:spacing w:before="0" w:after="0"/>
      </w:pPr>
      <w:r w:rsidRPr="003A32C0">
        <w:tab/>
      </w:r>
      <w:r w:rsidRPr="003A32C0">
        <w:tab/>
        <w:t>Australia</w:t>
      </w:r>
    </w:p>
    <w:p w:rsidR="00F639A0" w:rsidRPr="003A32C0" w:rsidRDefault="00F639A0" w:rsidP="00823B37">
      <w:pPr>
        <w:spacing w:before="0" w:after="0"/>
      </w:pPr>
      <w:r w:rsidRPr="003A32C0">
        <w:tab/>
      </w:r>
      <w:r w:rsidRPr="003A32C0">
        <w:tab/>
        <w:t>Telephone: 02 6260 4022</w:t>
      </w:r>
    </w:p>
    <w:p w:rsidR="00F639A0" w:rsidRPr="003A32C0" w:rsidRDefault="00F639A0" w:rsidP="00823B37">
      <w:pPr>
        <w:spacing w:before="0" w:after="0"/>
      </w:pPr>
      <w:r w:rsidRPr="003A32C0">
        <w:tab/>
      </w:r>
      <w:r w:rsidRPr="003A32C0">
        <w:tab/>
        <w:t>Facsimile: 02 6260 4122</w:t>
      </w:r>
    </w:p>
    <w:p w:rsidR="00C11F11" w:rsidRPr="008B26D6" w:rsidRDefault="00F639A0" w:rsidP="00823B37">
      <w:pPr>
        <w:spacing w:before="0" w:after="0"/>
        <w:rPr>
          <w:sz w:val="24"/>
          <w:szCs w:val="24"/>
        </w:rPr>
      </w:pPr>
      <w:r w:rsidRPr="003A32C0">
        <w:tab/>
      </w:r>
      <w:r w:rsidRPr="003A32C0">
        <w:tab/>
        <w:t xml:space="preserve">E-mail: </w:t>
      </w:r>
      <w:r w:rsidR="00C11F11" w:rsidRPr="008B26D6">
        <w:rPr>
          <w:sz w:val="24"/>
          <w:szCs w:val="24"/>
        </w:rPr>
        <w:t xml:space="preserve">director@chc.org.au;  </w:t>
      </w:r>
    </w:p>
    <w:p w:rsidR="009A7511" w:rsidRPr="003A32C0" w:rsidRDefault="00C11F11" w:rsidP="00823B37">
      <w:pPr>
        <w:spacing w:before="0" w:after="0"/>
        <w:rPr>
          <w:bCs/>
          <w:sz w:val="24"/>
          <w:szCs w:val="24"/>
          <w:u w:val="single"/>
        </w:rPr>
      </w:pPr>
      <w:r w:rsidRPr="008B26D6">
        <w:rPr>
          <w:sz w:val="24"/>
          <w:szCs w:val="24"/>
        </w:rPr>
        <w:t xml:space="preserve"> </w:t>
      </w:r>
      <w:r w:rsidR="008B26D6">
        <w:rPr>
          <w:sz w:val="24"/>
          <w:szCs w:val="24"/>
        </w:rPr>
        <w:tab/>
      </w:r>
      <w:r w:rsidR="00F639A0" w:rsidRPr="003A32C0">
        <w:rPr>
          <w:sz w:val="24"/>
          <w:szCs w:val="24"/>
        </w:rPr>
        <w:tab/>
        <w:t xml:space="preserve">Website: </w:t>
      </w:r>
      <w:hyperlink r:id="rId9" w:history="1">
        <w:r w:rsidR="009A7511" w:rsidRPr="003A32C0">
          <w:rPr>
            <w:rStyle w:val="Hyperlink"/>
            <w:bCs/>
            <w:sz w:val="24"/>
            <w:szCs w:val="24"/>
          </w:rPr>
          <w:t>www.chc.org.au</w:t>
        </w:r>
      </w:hyperlink>
    </w:p>
    <w:p w:rsidR="00F639A0" w:rsidRDefault="00F639A0" w:rsidP="00823B37">
      <w:pPr>
        <w:spacing w:before="0" w:after="0"/>
      </w:pPr>
      <w:r w:rsidRPr="003A32C0">
        <w:t xml:space="preserve"> </w:t>
      </w:r>
    </w:p>
    <w:p w:rsidR="00D8557C" w:rsidRDefault="00D8557C" w:rsidP="00823B37">
      <w:pPr>
        <w:spacing w:before="0" w:after="0"/>
      </w:pPr>
    </w:p>
    <w:p w:rsidR="00D8557C" w:rsidRDefault="00D8557C" w:rsidP="00823B37">
      <w:pPr>
        <w:spacing w:before="0" w:after="0"/>
      </w:pPr>
    </w:p>
    <w:p w:rsidR="00F639A0" w:rsidRPr="003A32C0" w:rsidRDefault="00F639A0" w:rsidP="00823B37">
      <w:pPr>
        <w:spacing w:before="0" w:after="0"/>
      </w:pPr>
      <w:r w:rsidRPr="003A32C0">
        <w:t xml:space="preserve">The contents of this document are subject to the provisions of the </w:t>
      </w:r>
      <w:r w:rsidRPr="003A32C0">
        <w:rPr>
          <w:i/>
        </w:rPr>
        <w:t xml:space="preserve">Copyright Act 1968 </w:t>
      </w:r>
      <w:r w:rsidRPr="003A32C0">
        <w:t xml:space="preserve">as amended from time to time. </w:t>
      </w:r>
    </w:p>
    <w:p w:rsidR="00C01AD6" w:rsidRPr="003A32C0" w:rsidRDefault="00C01AD6" w:rsidP="00823B37">
      <w:pPr>
        <w:spacing w:before="0" w:after="0"/>
      </w:pPr>
    </w:p>
    <w:p w:rsidR="00703B98" w:rsidRPr="00B0765D" w:rsidRDefault="00F639A0" w:rsidP="00B0765D">
      <w:pPr>
        <w:spacing w:before="0" w:after="0"/>
        <w:rPr>
          <w:b/>
        </w:rPr>
      </w:pPr>
      <w:r w:rsidRPr="003A32C0">
        <w:t>© 201</w:t>
      </w:r>
      <w:r w:rsidR="009E7A1D">
        <w:t>3</w:t>
      </w:r>
      <w:r w:rsidRPr="003A32C0">
        <w:t xml:space="preserve"> Complementary Healthcare Council of Australia</w:t>
      </w:r>
      <w:r w:rsidRPr="000C10AB">
        <w:br w:type="page"/>
      </w:r>
    </w:p>
    <w:p w:rsidR="002B34E4" w:rsidRPr="00B0765D" w:rsidRDefault="001C008F" w:rsidP="00B0765D">
      <w:pPr>
        <w:pStyle w:val="WendyList"/>
        <w:numPr>
          <w:ilvl w:val="0"/>
          <w:numId w:val="0"/>
        </w:numPr>
        <w:spacing w:before="0" w:after="360"/>
        <w:ind w:left="357"/>
        <w:jc w:val="center"/>
        <w:rPr>
          <w:rFonts w:ascii="Berylium" w:hAnsi="Berylium"/>
          <w:b/>
          <w:sz w:val="48"/>
          <w:szCs w:val="36"/>
        </w:rPr>
      </w:pPr>
      <w:r w:rsidRPr="002B34E4">
        <w:rPr>
          <w:rFonts w:ascii="Berylium" w:hAnsi="Berylium"/>
          <w:b/>
          <w:sz w:val="48"/>
          <w:szCs w:val="36"/>
        </w:rPr>
        <w:lastRenderedPageBreak/>
        <w:t>The CHC endorses the right of all Australians to:</w:t>
      </w:r>
    </w:p>
    <w:p w:rsidR="0088366B" w:rsidRPr="002B34E4" w:rsidRDefault="00E928A7" w:rsidP="00AE416C">
      <w:pPr>
        <w:pStyle w:val="WendyList"/>
        <w:numPr>
          <w:ilvl w:val="0"/>
          <w:numId w:val="28"/>
        </w:numPr>
        <w:spacing w:before="600" w:after="360"/>
        <w:ind w:left="360"/>
        <w:jc w:val="center"/>
        <w:rPr>
          <w:rFonts w:ascii="Berylium" w:hAnsi="Berylium"/>
          <w:sz w:val="32"/>
          <w:szCs w:val="30"/>
        </w:rPr>
      </w:pPr>
      <w:r>
        <w:rPr>
          <w:rFonts w:ascii="Berylium" w:hAnsi="Berylium"/>
          <w:sz w:val="32"/>
          <w:szCs w:val="30"/>
        </w:rPr>
        <w:t>C</w:t>
      </w:r>
      <w:r w:rsidR="00677BB6" w:rsidRPr="002B34E4">
        <w:rPr>
          <w:rFonts w:ascii="Berylium" w:hAnsi="Berylium"/>
          <w:sz w:val="32"/>
          <w:szCs w:val="30"/>
        </w:rPr>
        <w:t>hoose their healthcare provider</w:t>
      </w:r>
      <w:r w:rsidR="004E7258" w:rsidRPr="002B34E4">
        <w:rPr>
          <w:rFonts w:ascii="Berylium" w:hAnsi="Berylium"/>
          <w:sz w:val="32"/>
          <w:szCs w:val="30"/>
        </w:rPr>
        <w:t xml:space="preserve"> in an effective integrated healthcare model to enhance </w:t>
      </w:r>
      <w:r w:rsidR="00E34B25" w:rsidRPr="002B34E4">
        <w:rPr>
          <w:rFonts w:ascii="Berylium" w:hAnsi="Berylium"/>
          <w:sz w:val="32"/>
          <w:szCs w:val="30"/>
        </w:rPr>
        <w:t>their</w:t>
      </w:r>
      <w:r w:rsidR="004E7258" w:rsidRPr="002B34E4">
        <w:rPr>
          <w:rFonts w:ascii="Berylium" w:hAnsi="Berylium"/>
          <w:sz w:val="32"/>
          <w:szCs w:val="30"/>
        </w:rPr>
        <w:t xml:space="preserve"> health</w:t>
      </w:r>
    </w:p>
    <w:p w:rsidR="001E5B0A" w:rsidRPr="002B34E4" w:rsidRDefault="00E928A7" w:rsidP="00AE416C">
      <w:pPr>
        <w:pStyle w:val="WendyList"/>
        <w:numPr>
          <w:ilvl w:val="0"/>
          <w:numId w:val="28"/>
        </w:numPr>
        <w:spacing w:before="600" w:after="360"/>
        <w:ind w:left="360"/>
        <w:jc w:val="center"/>
        <w:rPr>
          <w:rFonts w:ascii="Berylium" w:hAnsi="Berylium"/>
          <w:sz w:val="32"/>
          <w:szCs w:val="30"/>
        </w:rPr>
      </w:pPr>
      <w:r>
        <w:rPr>
          <w:rFonts w:ascii="Berylium" w:hAnsi="Berylium"/>
          <w:sz w:val="32"/>
          <w:szCs w:val="30"/>
        </w:rPr>
        <w:t>T</w:t>
      </w:r>
      <w:r w:rsidR="00677BB6" w:rsidRPr="002B34E4">
        <w:rPr>
          <w:rFonts w:ascii="Berylium" w:hAnsi="Berylium"/>
          <w:sz w:val="32"/>
          <w:szCs w:val="30"/>
        </w:rPr>
        <w:t>ake responsibility for their health and wellbeing</w:t>
      </w:r>
    </w:p>
    <w:p w:rsidR="0088366B" w:rsidRPr="002B34E4" w:rsidRDefault="00E928A7" w:rsidP="00AE416C">
      <w:pPr>
        <w:pStyle w:val="WendyList"/>
        <w:numPr>
          <w:ilvl w:val="0"/>
          <w:numId w:val="28"/>
        </w:numPr>
        <w:spacing w:before="600" w:after="360"/>
        <w:ind w:left="360"/>
        <w:jc w:val="center"/>
        <w:rPr>
          <w:rFonts w:ascii="Berylium" w:hAnsi="Berylium"/>
          <w:sz w:val="32"/>
          <w:szCs w:val="30"/>
        </w:rPr>
      </w:pPr>
      <w:r>
        <w:rPr>
          <w:rFonts w:ascii="Berylium" w:hAnsi="Berylium"/>
          <w:sz w:val="32"/>
          <w:szCs w:val="30"/>
        </w:rPr>
        <w:t>A</w:t>
      </w:r>
      <w:r w:rsidR="00677BB6" w:rsidRPr="002B34E4">
        <w:rPr>
          <w:rFonts w:ascii="Berylium" w:hAnsi="Berylium"/>
          <w:sz w:val="32"/>
          <w:szCs w:val="30"/>
        </w:rPr>
        <w:t>ccess professional service</w:t>
      </w:r>
      <w:r w:rsidR="00CA4E49" w:rsidRPr="002B34E4">
        <w:rPr>
          <w:rFonts w:ascii="Berylium" w:hAnsi="Berylium"/>
          <w:sz w:val="32"/>
          <w:szCs w:val="30"/>
        </w:rPr>
        <w:t xml:space="preserve">s </w:t>
      </w:r>
      <w:r w:rsidR="00ED7D9B">
        <w:rPr>
          <w:rFonts w:ascii="Berylium" w:hAnsi="Berylium"/>
          <w:sz w:val="32"/>
          <w:szCs w:val="30"/>
        </w:rPr>
        <w:t>and treatment options</w:t>
      </w:r>
      <w:r w:rsidR="00ED7D9B" w:rsidRPr="002B34E4">
        <w:rPr>
          <w:rFonts w:ascii="Berylium" w:hAnsi="Berylium"/>
          <w:sz w:val="32"/>
          <w:szCs w:val="30"/>
        </w:rPr>
        <w:t xml:space="preserve"> by qualified </w:t>
      </w:r>
      <w:r w:rsidR="003D7F1D">
        <w:rPr>
          <w:rFonts w:ascii="Berylium" w:hAnsi="Berylium"/>
          <w:sz w:val="32"/>
          <w:szCs w:val="30"/>
        </w:rPr>
        <w:t>h</w:t>
      </w:r>
      <w:r w:rsidR="00ED7D9B">
        <w:rPr>
          <w:rFonts w:ascii="Berylium" w:hAnsi="Berylium"/>
          <w:sz w:val="32"/>
          <w:szCs w:val="30"/>
        </w:rPr>
        <w:t xml:space="preserve">ealthcare </w:t>
      </w:r>
      <w:r w:rsidR="003D7F1D">
        <w:rPr>
          <w:rFonts w:ascii="Berylium" w:hAnsi="Berylium"/>
          <w:sz w:val="32"/>
          <w:szCs w:val="30"/>
        </w:rPr>
        <w:t>p</w:t>
      </w:r>
      <w:r w:rsidR="0042351A">
        <w:rPr>
          <w:rFonts w:ascii="Berylium" w:hAnsi="Berylium"/>
          <w:sz w:val="32"/>
          <w:szCs w:val="30"/>
        </w:rPr>
        <w:t>ractitioners</w:t>
      </w:r>
      <w:r w:rsidR="00ED7D9B">
        <w:rPr>
          <w:rFonts w:ascii="Berylium" w:hAnsi="Berylium"/>
          <w:sz w:val="32"/>
          <w:szCs w:val="30"/>
        </w:rPr>
        <w:t xml:space="preserve"> </w:t>
      </w:r>
    </w:p>
    <w:p w:rsidR="0088366B" w:rsidRDefault="00E928A7" w:rsidP="00AE416C">
      <w:pPr>
        <w:pStyle w:val="WendyList"/>
        <w:numPr>
          <w:ilvl w:val="0"/>
          <w:numId w:val="28"/>
        </w:numPr>
        <w:spacing w:before="600" w:after="360"/>
        <w:ind w:left="360"/>
        <w:jc w:val="center"/>
        <w:rPr>
          <w:rFonts w:ascii="Berylium" w:hAnsi="Berylium"/>
          <w:sz w:val="32"/>
          <w:szCs w:val="30"/>
        </w:rPr>
      </w:pPr>
      <w:r>
        <w:rPr>
          <w:rFonts w:ascii="Berylium" w:hAnsi="Berylium"/>
          <w:sz w:val="32"/>
          <w:szCs w:val="30"/>
        </w:rPr>
        <w:t>T</w:t>
      </w:r>
      <w:r w:rsidR="00677BB6" w:rsidRPr="002B34E4">
        <w:rPr>
          <w:rFonts w:ascii="Berylium" w:hAnsi="Berylium"/>
          <w:sz w:val="32"/>
          <w:szCs w:val="30"/>
        </w:rPr>
        <w:t>rust th</w:t>
      </w:r>
      <w:r w:rsidR="00CD5518">
        <w:rPr>
          <w:rFonts w:ascii="Berylium" w:hAnsi="Berylium"/>
          <w:sz w:val="32"/>
          <w:szCs w:val="30"/>
        </w:rPr>
        <w:t xml:space="preserve">eir </w:t>
      </w:r>
      <w:r w:rsidR="003D7F1D">
        <w:rPr>
          <w:rFonts w:ascii="Berylium" w:hAnsi="Berylium"/>
          <w:sz w:val="32"/>
          <w:szCs w:val="30"/>
        </w:rPr>
        <w:t>h</w:t>
      </w:r>
      <w:r w:rsidR="00ED7D9B">
        <w:rPr>
          <w:rFonts w:ascii="Berylium" w:hAnsi="Berylium"/>
          <w:sz w:val="32"/>
          <w:szCs w:val="30"/>
        </w:rPr>
        <w:t xml:space="preserve">ealthcare </w:t>
      </w:r>
      <w:r w:rsidR="003D7F1D">
        <w:rPr>
          <w:rFonts w:ascii="Berylium" w:hAnsi="Berylium"/>
          <w:sz w:val="32"/>
          <w:szCs w:val="30"/>
        </w:rPr>
        <w:t>p</w:t>
      </w:r>
      <w:r w:rsidR="0042351A">
        <w:rPr>
          <w:rFonts w:ascii="Berylium" w:hAnsi="Berylium"/>
          <w:sz w:val="32"/>
          <w:szCs w:val="30"/>
        </w:rPr>
        <w:t>ractitioner</w:t>
      </w:r>
      <w:r w:rsidR="00677BB6" w:rsidRPr="002B34E4">
        <w:rPr>
          <w:rFonts w:ascii="Berylium" w:hAnsi="Berylium"/>
          <w:sz w:val="32"/>
          <w:szCs w:val="30"/>
        </w:rPr>
        <w:t xml:space="preserve"> </w:t>
      </w:r>
      <w:r w:rsidR="00781650">
        <w:rPr>
          <w:rFonts w:ascii="Berylium" w:hAnsi="Berylium"/>
          <w:sz w:val="32"/>
          <w:szCs w:val="30"/>
        </w:rPr>
        <w:t xml:space="preserve">is bound by </w:t>
      </w:r>
      <w:r w:rsidR="00CD5518">
        <w:rPr>
          <w:rFonts w:ascii="Berylium" w:hAnsi="Berylium"/>
          <w:sz w:val="32"/>
          <w:szCs w:val="30"/>
        </w:rPr>
        <w:t>a particular</w:t>
      </w:r>
      <w:r w:rsidR="009F3C3C">
        <w:rPr>
          <w:rFonts w:ascii="Berylium" w:hAnsi="Berylium"/>
          <w:sz w:val="32"/>
          <w:szCs w:val="30"/>
        </w:rPr>
        <w:t xml:space="preserve"> </w:t>
      </w:r>
      <w:r w:rsidR="00CA4E49" w:rsidRPr="002B34E4">
        <w:rPr>
          <w:rFonts w:ascii="Berylium" w:hAnsi="Berylium"/>
          <w:sz w:val="32"/>
          <w:szCs w:val="30"/>
        </w:rPr>
        <w:t>standard of care</w:t>
      </w:r>
    </w:p>
    <w:p w:rsidR="00CD5518" w:rsidRPr="002B34E4" w:rsidRDefault="00CD5518" w:rsidP="00AE416C">
      <w:pPr>
        <w:pStyle w:val="WendyList"/>
        <w:numPr>
          <w:ilvl w:val="0"/>
          <w:numId w:val="28"/>
        </w:numPr>
        <w:spacing w:before="600" w:after="360"/>
        <w:ind w:left="360"/>
        <w:jc w:val="center"/>
        <w:rPr>
          <w:rFonts w:ascii="Berylium" w:hAnsi="Berylium"/>
          <w:sz w:val="32"/>
          <w:szCs w:val="30"/>
        </w:rPr>
      </w:pPr>
      <w:r>
        <w:rPr>
          <w:rFonts w:ascii="Berylium" w:hAnsi="Berylium"/>
          <w:sz w:val="32"/>
          <w:szCs w:val="30"/>
        </w:rPr>
        <w:t>Trust there are proper safeguards and  measures in place to ensure their protection</w:t>
      </w:r>
      <w:r w:rsidR="00B0765D">
        <w:rPr>
          <w:rFonts w:ascii="Berylium" w:hAnsi="Berylium"/>
          <w:sz w:val="32"/>
          <w:szCs w:val="30"/>
        </w:rPr>
        <w:t>,</w:t>
      </w:r>
      <w:r>
        <w:rPr>
          <w:rFonts w:ascii="Berylium" w:hAnsi="Berylium"/>
          <w:sz w:val="32"/>
          <w:szCs w:val="30"/>
        </w:rPr>
        <w:t xml:space="preserve"> </w:t>
      </w:r>
      <w:r w:rsidR="009F3C3C">
        <w:rPr>
          <w:rFonts w:ascii="Berylium" w:hAnsi="Berylium"/>
          <w:sz w:val="32"/>
          <w:szCs w:val="30"/>
        </w:rPr>
        <w:t xml:space="preserve">for example in case of </w:t>
      </w:r>
      <w:r>
        <w:rPr>
          <w:rFonts w:ascii="Berylium" w:hAnsi="Berylium"/>
          <w:sz w:val="32"/>
          <w:szCs w:val="30"/>
        </w:rPr>
        <w:t>malpractice</w:t>
      </w:r>
    </w:p>
    <w:p w:rsidR="0088366B" w:rsidRPr="002B34E4" w:rsidRDefault="00E928A7" w:rsidP="00AE416C">
      <w:pPr>
        <w:pStyle w:val="WendyList"/>
        <w:numPr>
          <w:ilvl w:val="0"/>
          <w:numId w:val="28"/>
        </w:numPr>
        <w:spacing w:before="600" w:after="360"/>
        <w:ind w:left="360"/>
        <w:jc w:val="center"/>
        <w:rPr>
          <w:rFonts w:ascii="Berylium" w:hAnsi="Berylium"/>
          <w:sz w:val="32"/>
          <w:szCs w:val="30"/>
        </w:rPr>
      </w:pPr>
      <w:r>
        <w:rPr>
          <w:rFonts w:ascii="Berylium" w:hAnsi="Berylium"/>
          <w:sz w:val="32"/>
          <w:szCs w:val="30"/>
        </w:rPr>
        <w:t>K</w:t>
      </w:r>
      <w:r w:rsidR="00CA4E49" w:rsidRPr="002B34E4">
        <w:rPr>
          <w:rFonts w:ascii="Berylium" w:hAnsi="Berylium"/>
          <w:sz w:val="32"/>
          <w:szCs w:val="30"/>
        </w:rPr>
        <w:t xml:space="preserve">now that </w:t>
      </w:r>
      <w:r w:rsidR="001D18FE">
        <w:rPr>
          <w:rFonts w:ascii="Berylium" w:hAnsi="Berylium"/>
          <w:sz w:val="32"/>
          <w:szCs w:val="30"/>
        </w:rPr>
        <w:t xml:space="preserve">a </w:t>
      </w:r>
      <w:r w:rsidR="00ED7D9B" w:rsidRPr="00AA0039">
        <w:rPr>
          <w:rFonts w:ascii="Berylium" w:hAnsi="Berylium"/>
          <w:sz w:val="32"/>
          <w:szCs w:val="30"/>
        </w:rPr>
        <w:t>non-compliant</w:t>
      </w:r>
      <w:r w:rsidR="00ED7D9B" w:rsidRPr="00ED7D9B">
        <w:rPr>
          <w:rFonts w:ascii="Berylium" w:hAnsi="Berylium"/>
          <w:sz w:val="32"/>
          <w:szCs w:val="30"/>
        </w:rPr>
        <w:t xml:space="preserve"> </w:t>
      </w:r>
      <w:r w:rsidR="003D7F1D">
        <w:rPr>
          <w:rFonts w:ascii="Berylium" w:hAnsi="Berylium"/>
          <w:sz w:val="32"/>
          <w:szCs w:val="30"/>
        </w:rPr>
        <w:t>h</w:t>
      </w:r>
      <w:r w:rsidR="00ED7D9B" w:rsidRPr="00ED7D9B">
        <w:rPr>
          <w:rFonts w:ascii="Berylium" w:hAnsi="Berylium"/>
          <w:sz w:val="32"/>
          <w:szCs w:val="30"/>
        </w:rPr>
        <w:t>ealthcare</w:t>
      </w:r>
      <w:r w:rsidR="00ED7D9B">
        <w:rPr>
          <w:rFonts w:ascii="Berylium" w:hAnsi="Berylium"/>
          <w:sz w:val="32"/>
          <w:szCs w:val="30"/>
        </w:rPr>
        <w:t xml:space="preserve"> </w:t>
      </w:r>
      <w:r w:rsidR="003D7F1D">
        <w:rPr>
          <w:rFonts w:ascii="Berylium" w:hAnsi="Berylium"/>
          <w:sz w:val="32"/>
          <w:szCs w:val="30"/>
        </w:rPr>
        <w:t>p</w:t>
      </w:r>
      <w:r w:rsidR="0042351A">
        <w:rPr>
          <w:rFonts w:ascii="Berylium" w:hAnsi="Berylium"/>
          <w:sz w:val="32"/>
          <w:szCs w:val="30"/>
        </w:rPr>
        <w:t>ractitioner</w:t>
      </w:r>
      <w:r w:rsidR="00ED7D9B">
        <w:rPr>
          <w:rFonts w:ascii="Berylium" w:hAnsi="Berylium"/>
          <w:sz w:val="32"/>
          <w:szCs w:val="30"/>
        </w:rPr>
        <w:t xml:space="preserve"> </w:t>
      </w:r>
      <w:r w:rsidR="00B0765D">
        <w:rPr>
          <w:rFonts w:ascii="Berylium" w:hAnsi="Berylium"/>
          <w:sz w:val="32"/>
          <w:szCs w:val="30"/>
        </w:rPr>
        <w:t>who do</w:t>
      </w:r>
      <w:r w:rsidR="001D18FE">
        <w:rPr>
          <w:rFonts w:ascii="Berylium" w:hAnsi="Berylium"/>
          <w:sz w:val="32"/>
          <w:szCs w:val="30"/>
        </w:rPr>
        <w:t>es</w:t>
      </w:r>
      <w:r w:rsidR="00677BB6" w:rsidRPr="002B34E4">
        <w:rPr>
          <w:rFonts w:ascii="Berylium" w:hAnsi="Berylium"/>
          <w:sz w:val="32"/>
          <w:szCs w:val="30"/>
        </w:rPr>
        <w:t xml:space="preserve"> the wrong thing will be </w:t>
      </w:r>
      <w:r w:rsidR="00452AFA">
        <w:rPr>
          <w:rFonts w:ascii="Berylium" w:hAnsi="Berylium"/>
          <w:sz w:val="32"/>
          <w:szCs w:val="30"/>
        </w:rPr>
        <w:t>dealt with</w:t>
      </w:r>
      <w:r w:rsidR="009F3C3C">
        <w:rPr>
          <w:rFonts w:ascii="Berylium" w:hAnsi="Berylium"/>
          <w:sz w:val="32"/>
          <w:szCs w:val="30"/>
        </w:rPr>
        <w:t xml:space="preserve"> effectively</w:t>
      </w:r>
      <w:r w:rsidR="00B0765D">
        <w:rPr>
          <w:rFonts w:ascii="Berylium" w:hAnsi="Berylium"/>
          <w:sz w:val="32"/>
          <w:szCs w:val="30"/>
        </w:rPr>
        <w:t>,</w:t>
      </w:r>
      <w:r w:rsidR="009F3C3C">
        <w:rPr>
          <w:rFonts w:ascii="Berylium" w:hAnsi="Berylium"/>
          <w:sz w:val="32"/>
          <w:szCs w:val="30"/>
        </w:rPr>
        <w:t xml:space="preserve"> and</w:t>
      </w:r>
      <w:r w:rsidR="00452AFA">
        <w:rPr>
          <w:rFonts w:ascii="Berylium" w:hAnsi="Berylium"/>
          <w:sz w:val="32"/>
          <w:szCs w:val="30"/>
        </w:rPr>
        <w:t xml:space="preserve"> </w:t>
      </w:r>
      <w:r w:rsidR="00677BB6" w:rsidRPr="002B34E4">
        <w:rPr>
          <w:rFonts w:ascii="Berylium" w:hAnsi="Berylium"/>
          <w:sz w:val="32"/>
          <w:szCs w:val="30"/>
        </w:rPr>
        <w:t>barred from practice</w:t>
      </w:r>
      <w:r w:rsidR="009F3C3C">
        <w:rPr>
          <w:rFonts w:ascii="Berylium" w:hAnsi="Berylium"/>
          <w:sz w:val="32"/>
          <w:szCs w:val="30"/>
        </w:rPr>
        <w:t xml:space="preserve"> where appropriate</w:t>
      </w:r>
    </w:p>
    <w:p w:rsidR="0088366B" w:rsidRPr="002B34E4" w:rsidRDefault="00E928A7" w:rsidP="00AE416C">
      <w:pPr>
        <w:pStyle w:val="WendyList"/>
        <w:numPr>
          <w:ilvl w:val="0"/>
          <w:numId w:val="28"/>
        </w:numPr>
        <w:spacing w:before="600" w:after="360"/>
        <w:ind w:left="360"/>
        <w:jc w:val="center"/>
        <w:rPr>
          <w:rFonts w:ascii="Berylium" w:hAnsi="Berylium"/>
          <w:sz w:val="32"/>
          <w:szCs w:val="30"/>
        </w:rPr>
      </w:pPr>
      <w:r>
        <w:rPr>
          <w:rFonts w:ascii="Berylium" w:hAnsi="Berylium"/>
          <w:sz w:val="32"/>
          <w:szCs w:val="30"/>
        </w:rPr>
        <w:t>K</w:t>
      </w:r>
      <w:r w:rsidR="002A08EF" w:rsidRPr="002B34E4">
        <w:rPr>
          <w:rFonts w:ascii="Berylium" w:hAnsi="Berylium"/>
          <w:sz w:val="32"/>
          <w:szCs w:val="30"/>
        </w:rPr>
        <w:t xml:space="preserve">now that their </w:t>
      </w:r>
      <w:r w:rsidR="003D7F1D">
        <w:rPr>
          <w:rFonts w:ascii="Berylium" w:hAnsi="Berylium"/>
          <w:sz w:val="32"/>
          <w:szCs w:val="30"/>
        </w:rPr>
        <w:t>h</w:t>
      </w:r>
      <w:r w:rsidR="00ED7D9B">
        <w:rPr>
          <w:rFonts w:ascii="Berylium" w:hAnsi="Berylium"/>
          <w:sz w:val="32"/>
          <w:szCs w:val="30"/>
        </w:rPr>
        <w:t xml:space="preserve">ealthcare </w:t>
      </w:r>
      <w:r w:rsidR="003D7F1D">
        <w:rPr>
          <w:rFonts w:ascii="Berylium" w:hAnsi="Berylium"/>
          <w:sz w:val="32"/>
          <w:szCs w:val="30"/>
        </w:rPr>
        <w:t>p</w:t>
      </w:r>
      <w:r w:rsidR="0042351A">
        <w:rPr>
          <w:rFonts w:ascii="Berylium" w:hAnsi="Berylium"/>
          <w:sz w:val="32"/>
          <w:szCs w:val="30"/>
        </w:rPr>
        <w:t>ractitioner</w:t>
      </w:r>
      <w:r w:rsidR="002A08EF" w:rsidRPr="002B34E4">
        <w:rPr>
          <w:rFonts w:ascii="Berylium" w:hAnsi="Berylium"/>
          <w:sz w:val="32"/>
          <w:szCs w:val="30"/>
        </w:rPr>
        <w:t xml:space="preserve"> will </w:t>
      </w:r>
      <w:r w:rsidR="00677BB6" w:rsidRPr="002B34E4">
        <w:rPr>
          <w:rFonts w:ascii="Berylium" w:hAnsi="Berylium"/>
          <w:sz w:val="32"/>
          <w:szCs w:val="30"/>
        </w:rPr>
        <w:t xml:space="preserve">refer when necessary, </w:t>
      </w:r>
      <w:r w:rsidR="0094338C">
        <w:rPr>
          <w:rFonts w:ascii="Berylium" w:hAnsi="Berylium"/>
          <w:sz w:val="32"/>
          <w:szCs w:val="30"/>
        </w:rPr>
        <w:t>and has</w:t>
      </w:r>
      <w:r w:rsidR="004E7258" w:rsidRPr="002B34E4">
        <w:rPr>
          <w:rFonts w:ascii="Berylium" w:hAnsi="Berylium"/>
          <w:sz w:val="32"/>
          <w:szCs w:val="30"/>
        </w:rPr>
        <w:t xml:space="preserve"> a solid </w:t>
      </w:r>
      <w:r w:rsidR="00677BB6" w:rsidRPr="002B34E4">
        <w:rPr>
          <w:rFonts w:ascii="Berylium" w:hAnsi="Berylium"/>
          <w:sz w:val="32"/>
          <w:szCs w:val="30"/>
        </w:rPr>
        <w:t>understanding of the broader implications of patient care</w:t>
      </w:r>
    </w:p>
    <w:p w:rsidR="002B34E4" w:rsidRDefault="002B34E4">
      <w:pPr>
        <w:spacing w:before="0" w:after="200" w:line="276" w:lineRule="auto"/>
        <w:rPr>
          <w:rFonts w:cs="Calibri"/>
          <w:color w:val="000000"/>
          <w:sz w:val="28"/>
          <w:szCs w:val="28"/>
        </w:rPr>
      </w:pPr>
      <w:r>
        <w:rPr>
          <w:sz w:val="28"/>
          <w:szCs w:val="28"/>
        </w:rPr>
        <w:br w:type="page"/>
      </w:r>
    </w:p>
    <w:p w:rsidR="0088366B" w:rsidRPr="00282246" w:rsidRDefault="0088366B" w:rsidP="00E34B25">
      <w:pPr>
        <w:pStyle w:val="WendyList"/>
        <w:numPr>
          <w:ilvl w:val="0"/>
          <w:numId w:val="0"/>
        </w:numPr>
        <w:spacing w:before="240" w:after="240"/>
        <w:ind w:left="720" w:hanging="360"/>
        <w:rPr>
          <w:sz w:val="28"/>
          <w:szCs w:val="28"/>
        </w:rPr>
      </w:pPr>
    </w:p>
    <w:sdt>
      <w:sdtPr>
        <w:rPr>
          <w:rFonts w:asciiTheme="minorHAnsi" w:eastAsiaTheme="minorEastAsia" w:hAnsiTheme="minorHAnsi" w:cstheme="minorBidi"/>
          <w:b w:val="0"/>
          <w:bCs w:val="0"/>
          <w:color w:val="auto"/>
          <w:sz w:val="22"/>
          <w:szCs w:val="22"/>
          <w:lang w:val="en-AU" w:eastAsia="en-AU"/>
        </w:rPr>
        <w:id w:val="1917119731"/>
        <w:docPartObj>
          <w:docPartGallery w:val="Table of Contents"/>
          <w:docPartUnique/>
        </w:docPartObj>
      </w:sdtPr>
      <w:sdtEndPr>
        <w:rPr>
          <w:noProof/>
        </w:rPr>
      </w:sdtEndPr>
      <w:sdtContent>
        <w:p w:rsidR="00331D16" w:rsidRDefault="00331D16">
          <w:pPr>
            <w:pStyle w:val="TOCHeading"/>
          </w:pPr>
          <w:r>
            <w:t>Table of Contents</w:t>
          </w:r>
        </w:p>
        <w:p w:rsidR="00DC4FEA" w:rsidRDefault="004D4174">
          <w:pPr>
            <w:pStyle w:val="TOC1"/>
            <w:tabs>
              <w:tab w:val="right" w:leader="dot" w:pos="9628"/>
            </w:tabs>
            <w:rPr>
              <w:b w:val="0"/>
              <w:noProof/>
            </w:rPr>
          </w:pPr>
          <w:r>
            <w:fldChar w:fldCharType="begin"/>
          </w:r>
          <w:r>
            <w:instrText xml:space="preserve"> TOC \o "1-2" \h \z \u </w:instrText>
          </w:r>
          <w:r>
            <w:fldChar w:fldCharType="separate"/>
          </w:r>
          <w:hyperlink w:anchor="_Toc360099486" w:history="1">
            <w:r w:rsidR="00DC4FEA" w:rsidRPr="003960AA">
              <w:rPr>
                <w:rStyle w:val="Hyperlink"/>
                <w:noProof/>
              </w:rPr>
              <w:t>1.</w:t>
            </w:r>
            <w:r w:rsidR="00DC4FEA">
              <w:rPr>
                <w:b w:val="0"/>
                <w:noProof/>
              </w:rPr>
              <w:tab/>
            </w:r>
            <w:r w:rsidR="00DC4FEA" w:rsidRPr="003960AA">
              <w:rPr>
                <w:rStyle w:val="Hyperlink"/>
                <w:noProof/>
              </w:rPr>
              <w:t>Executive Summary</w:t>
            </w:r>
            <w:r w:rsidR="00DC4FEA">
              <w:rPr>
                <w:noProof/>
                <w:webHidden/>
              </w:rPr>
              <w:tab/>
            </w:r>
            <w:r w:rsidR="00DC4FEA">
              <w:rPr>
                <w:noProof/>
                <w:webHidden/>
              </w:rPr>
              <w:fldChar w:fldCharType="begin"/>
            </w:r>
            <w:r w:rsidR="00DC4FEA">
              <w:rPr>
                <w:noProof/>
                <w:webHidden/>
              </w:rPr>
              <w:instrText xml:space="preserve"> PAGEREF _Toc360099486 \h </w:instrText>
            </w:r>
            <w:r w:rsidR="00DC4FEA">
              <w:rPr>
                <w:noProof/>
                <w:webHidden/>
              </w:rPr>
            </w:r>
            <w:r w:rsidR="00DC4FEA">
              <w:rPr>
                <w:noProof/>
                <w:webHidden/>
              </w:rPr>
              <w:fldChar w:fldCharType="separate"/>
            </w:r>
            <w:r w:rsidR="00DC4FEA">
              <w:rPr>
                <w:noProof/>
                <w:webHidden/>
              </w:rPr>
              <w:t>4</w:t>
            </w:r>
            <w:r w:rsidR="00DC4FEA">
              <w:rPr>
                <w:noProof/>
                <w:webHidden/>
              </w:rPr>
              <w:fldChar w:fldCharType="end"/>
            </w:r>
          </w:hyperlink>
        </w:p>
        <w:p w:rsidR="00DC4FEA" w:rsidRDefault="00C243CA">
          <w:pPr>
            <w:pStyle w:val="TOC2"/>
            <w:rPr>
              <w:noProof/>
            </w:rPr>
          </w:pPr>
          <w:hyperlink w:anchor="_Toc360099487" w:history="1">
            <w:r w:rsidR="00DC4FEA" w:rsidRPr="003960AA">
              <w:rPr>
                <w:rStyle w:val="Hyperlink"/>
                <w:noProof/>
              </w:rPr>
              <w:t>Call to Action</w:t>
            </w:r>
            <w:r w:rsidR="00DC4FEA">
              <w:rPr>
                <w:noProof/>
                <w:webHidden/>
              </w:rPr>
              <w:tab/>
            </w:r>
            <w:r w:rsidR="00DC4FEA">
              <w:rPr>
                <w:noProof/>
                <w:webHidden/>
              </w:rPr>
              <w:fldChar w:fldCharType="begin"/>
            </w:r>
            <w:r w:rsidR="00DC4FEA">
              <w:rPr>
                <w:noProof/>
                <w:webHidden/>
              </w:rPr>
              <w:instrText xml:space="preserve"> PAGEREF _Toc360099487 \h </w:instrText>
            </w:r>
            <w:r w:rsidR="00DC4FEA">
              <w:rPr>
                <w:noProof/>
                <w:webHidden/>
              </w:rPr>
            </w:r>
            <w:r w:rsidR="00DC4FEA">
              <w:rPr>
                <w:noProof/>
                <w:webHidden/>
              </w:rPr>
              <w:fldChar w:fldCharType="separate"/>
            </w:r>
            <w:r w:rsidR="00DC4FEA">
              <w:rPr>
                <w:noProof/>
                <w:webHidden/>
              </w:rPr>
              <w:t>5</w:t>
            </w:r>
            <w:r w:rsidR="00DC4FEA">
              <w:rPr>
                <w:noProof/>
                <w:webHidden/>
              </w:rPr>
              <w:fldChar w:fldCharType="end"/>
            </w:r>
          </w:hyperlink>
        </w:p>
        <w:p w:rsidR="00DC4FEA" w:rsidRDefault="00C243CA">
          <w:pPr>
            <w:pStyle w:val="TOC2"/>
            <w:rPr>
              <w:noProof/>
            </w:rPr>
          </w:pPr>
          <w:hyperlink w:anchor="_Toc360099488" w:history="1">
            <w:r w:rsidR="00DC4FEA" w:rsidRPr="003960AA">
              <w:rPr>
                <w:rStyle w:val="Hyperlink"/>
                <w:noProof/>
              </w:rPr>
              <w:t>Background</w:t>
            </w:r>
            <w:r w:rsidR="00DC4FEA">
              <w:rPr>
                <w:noProof/>
                <w:webHidden/>
              </w:rPr>
              <w:tab/>
            </w:r>
            <w:r w:rsidR="00DC4FEA">
              <w:rPr>
                <w:noProof/>
                <w:webHidden/>
              </w:rPr>
              <w:fldChar w:fldCharType="begin"/>
            </w:r>
            <w:r w:rsidR="00DC4FEA">
              <w:rPr>
                <w:noProof/>
                <w:webHidden/>
              </w:rPr>
              <w:instrText xml:space="preserve"> PAGEREF _Toc360099488 \h </w:instrText>
            </w:r>
            <w:r w:rsidR="00DC4FEA">
              <w:rPr>
                <w:noProof/>
                <w:webHidden/>
              </w:rPr>
            </w:r>
            <w:r w:rsidR="00DC4FEA">
              <w:rPr>
                <w:noProof/>
                <w:webHidden/>
              </w:rPr>
              <w:fldChar w:fldCharType="separate"/>
            </w:r>
            <w:r w:rsidR="00DC4FEA">
              <w:rPr>
                <w:noProof/>
                <w:webHidden/>
              </w:rPr>
              <w:t>5</w:t>
            </w:r>
            <w:r w:rsidR="00DC4FEA">
              <w:rPr>
                <w:noProof/>
                <w:webHidden/>
              </w:rPr>
              <w:fldChar w:fldCharType="end"/>
            </w:r>
          </w:hyperlink>
        </w:p>
        <w:p w:rsidR="00DC4FEA" w:rsidRDefault="00C243CA">
          <w:pPr>
            <w:pStyle w:val="TOC1"/>
            <w:tabs>
              <w:tab w:val="right" w:leader="dot" w:pos="9628"/>
            </w:tabs>
            <w:rPr>
              <w:b w:val="0"/>
              <w:noProof/>
            </w:rPr>
          </w:pPr>
          <w:hyperlink w:anchor="_Toc360099491" w:history="1">
            <w:r w:rsidR="00DC4FEA" w:rsidRPr="003960AA">
              <w:rPr>
                <w:rStyle w:val="Hyperlink"/>
                <w:noProof/>
              </w:rPr>
              <w:t>2.</w:t>
            </w:r>
            <w:r w:rsidR="00DC4FEA">
              <w:rPr>
                <w:b w:val="0"/>
                <w:noProof/>
              </w:rPr>
              <w:tab/>
            </w:r>
            <w:r w:rsidR="00DC4FEA" w:rsidRPr="003960AA">
              <w:rPr>
                <w:rStyle w:val="Hyperlink"/>
                <w:noProof/>
              </w:rPr>
              <w:t>Why the CHC is Supportive of Statutory Registration of Naturopaths and Western Herbal Medicine Practitioners.</w:t>
            </w:r>
            <w:r w:rsidR="00DC4FEA">
              <w:rPr>
                <w:noProof/>
                <w:webHidden/>
              </w:rPr>
              <w:tab/>
            </w:r>
            <w:r w:rsidR="00DC4FEA">
              <w:rPr>
                <w:noProof/>
                <w:webHidden/>
              </w:rPr>
              <w:fldChar w:fldCharType="begin"/>
            </w:r>
            <w:r w:rsidR="00DC4FEA">
              <w:rPr>
                <w:noProof/>
                <w:webHidden/>
              </w:rPr>
              <w:instrText xml:space="preserve"> PAGEREF _Toc360099491 \h </w:instrText>
            </w:r>
            <w:r w:rsidR="00DC4FEA">
              <w:rPr>
                <w:noProof/>
                <w:webHidden/>
              </w:rPr>
            </w:r>
            <w:r w:rsidR="00DC4FEA">
              <w:rPr>
                <w:noProof/>
                <w:webHidden/>
              </w:rPr>
              <w:fldChar w:fldCharType="separate"/>
            </w:r>
            <w:r w:rsidR="00DC4FEA">
              <w:rPr>
                <w:noProof/>
                <w:webHidden/>
              </w:rPr>
              <w:t>6</w:t>
            </w:r>
            <w:r w:rsidR="00DC4FEA">
              <w:rPr>
                <w:noProof/>
                <w:webHidden/>
              </w:rPr>
              <w:fldChar w:fldCharType="end"/>
            </w:r>
          </w:hyperlink>
        </w:p>
        <w:p w:rsidR="00DC4FEA" w:rsidRDefault="00C243CA">
          <w:pPr>
            <w:pStyle w:val="TOC1"/>
            <w:tabs>
              <w:tab w:val="right" w:leader="dot" w:pos="9628"/>
            </w:tabs>
            <w:rPr>
              <w:b w:val="0"/>
              <w:noProof/>
            </w:rPr>
          </w:pPr>
          <w:hyperlink w:anchor="_Toc360099492" w:history="1">
            <w:r w:rsidR="00DC4FEA" w:rsidRPr="003960AA">
              <w:rPr>
                <w:rStyle w:val="Hyperlink"/>
                <w:noProof/>
              </w:rPr>
              <w:t>3.</w:t>
            </w:r>
            <w:r w:rsidR="00DC4FEA">
              <w:rPr>
                <w:b w:val="0"/>
                <w:noProof/>
              </w:rPr>
              <w:tab/>
            </w:r>
            <w:r w:rsidR="00DC4FEA" w:rsidRPr="003960AA">
              <w:rPr>
                <w:rStyle w:val="Hyperlink"/>
                <w:noProof/>
              </w:rPr>
              <w:t>Proposed Regulatory Changes with the Potential to Disadvantage Complementary Medicine Practitioners</w:t>
            </w:r>
            <w:r w:rsidR="00DC4FEA">
              <w:rPr>
                <w:noProof/>
                <w:webHidden/>
              </w:rPr>
              <w:tab/>
            </w:r>
            <w:r w:rsidR="00DC4FEA">
              <w:rPr>
                <w:noProof/>
                <w:webHidden/>
              </w:rPr>
              <w:fldChar w:fldCharType="begin"/>
            </w:r>
            <w:r w:rsidR="00DC4FEA">
              <w:rPr>
                <w:noProof/>
                <w:webHidden/>
              </w:rPr>
              <w:instrText xml:space="preserve"> PAGEREF _Toc360099492 \h </w:instrText>
            </w:r>
            <w:r w:rsidR="00DC4FEA">
              <w:rPr>
                <w:noProof/>
                <w:webHidden/>
              </w:rPr>
            </w:r>
            <w:r w:rsidR="00DC4FEA">
              <w:rPr>
                <w:noProof/>
                <w:webHidden/>
              </w:rPr>
              <w:fldChar w:fldCharType="separate"/>
            </w:r>
            <w:r w:rsidR="00DC4FEA">
              <w:rPr>
                <w:noProof/>
                <w:webHidden/>
              </w:rPr>
              <w:t>7</w:t>
            </w:r>
            <w:r w:rsidR="00DC4FEA">
              <w:rPr>
                <w:noProof/>
                <w:webHidden/>
              </w:rPr>
              <w:fldChar w:fldCharType="end"/>
            </w:r>
          </w:hyperlink>
        </w:p>
        <w:p w:rsidR="00DC4FEA" w:rsidRDefault="00C243CA">
          <w:pPr>
            <w:pStyle w:val="TOC2"/>
            <w:rPr>
              <w:noProof/>
            </w:rPr>
          </w:pPr>
          <w:hyperlink w:anchor="_Toc360099493" w:history="1">
            <w:r w:rsidR="00DC4FEA" w:rsidRPr="003960AA">
              <w:rPr>
                <w:rStyle w:val="Hyperlink"/>
                <w:noProof/>
              </w:rPr>
              <w:t>The review of eligibili</w:t>
            </w:r>
            <w:r>
              <w:rPr>
                <w:rStyle w:val="Hyperlink"/>
                <w:noProof/>
              </w:rPr>
              <w:t>ty for health fund rebates for Complementary Medicine P</w:t>
            </w:r>
            <w:bookmarkStart w:id="0" w:name="_GoBack"/>
            <w:bookmarkEnd w:id="0"/>
            <w:r w:rsidR="00DC4FEA" w:rsidRPr="003960AA">
              <w:rPr>
                <w:rStyle w:val="Hyperlink"/>
                <w:noProof/>
              </w:rPr>
              <w:t>ractitioners</w:t>
            </w:r>
            <w:r w:rsidR="00DC4FEA">
              <w:rPr>
                <w:noProof/>
                <w:webHidden/>
              </w:rPr>
              <w:tab/>
            </w:r>
            <w:r w:rsidR="00DC4FEA">
              <w:rPr>
                <w:noProof/>
                <w:webHidden/>
              </w:rPr>
              <w:fldChar w:fldCharType="begin"/>
            </w:r>
            <w:r w:rsidR="00DC4FEA">
              <w:rPr>
                <w:noProof/>
                <w:webHidden/>
              </w:rPr>
              <w:instrText xml:space="preserve"> PAGEREF _Toc360099493 \h </w:instrText>
            </w:r>
            <w:r w:rsidR="00DC4FEA">
              <w:rPr>
                <w:noProof/>
                <w:webHidden/>
              </w:rPr>
            </w:r>
            <w:r w:rsidR="00DC4FEA">
              <w:rPr>
                <w:noProof/>
                <w:webHidden/>
              </w:rPr>
              <w:fldChar w:fldCharType="separate"/>
            </w:r>
            <w:r w:rsidR="00DC4FEA">
              <w:rPr>
                <w:noProof/>
                <w:webHidden/>
              </w:rPr>
              <w:t>7</w:t>
            </w:r>
            <w:r w:rsidR="00DC4FEA">
              <w:rPr>
                <w:noProof/>
                <w:webHidden/>
              </w:rPr>
              <w:fldChar w:fldCharType="end"/>
            </w:r>
          </w:hyperlink>
        </w:p>
        <w:p w:rsidR="00DC4FEA" w:rsidRDefault="00C243CA">
          <w:pPr>
            <w:pStyle w:val="TOC2"/>
            <w:rPr>
              <w:noProof/>
            </w:rPr>
          </w:pPr>
          <w:hyperlink w:anchor="_Toc360099494" w:history="1">
            <w:r w:rsidR="00DC4FEA" w:rsidRPr="003960AA">
              <w:rPr>
                <w:rStyle w:val="Hyperlink"/>
                <w:noProof/>
              </w:rPr>
              <w:t>The introduction of In Vitro Diagnostic Device listing to the TGA</w:t>
            </w:r>
            <w:r w:rsidR="00DC4FEA">
              <w:rPr>
                <w:noProof/>
                <w:webHidden/>
              </w:rPr>
              <w:tab/>
            </w:r>
            <w:r w:rsidR="00DC4FEA">
              <w:rPr>
                <w:noProof/>
                <w:webHidden/>
              </w:rPr>
              <w:fldChar w:fldCharType="begin"/>
            </w:r>
            <w:r w:rsidR="00DC4FEA">
              <w:rPr>
                <w:noProof/>
                <w:webHidden/>
              </w:rPr>
              <w:instrText xml:space="preserve"> PAGEREF _Toc360099494 \h </w:instrText>
            </w:r>
            <w:r w:rsidR="00DC4FEA">
              <w:rPr>
                <w:noProof/>
                <w:webHidden/>
              </w:rPr>
            </w:r>
            <w:r w:rsidR="00DC4FEA">
              <w:rPr>
                <w:noProof/>
                <w:webHidden/>
              </w:rPr>
              <w:fldChar w:fldCharType="separate"/>
            </w:r>
            <w:r w:rsidR="00DC4FEA">
              <w:rPr>
                <w:noProof/>
                <w:webHidden/>
              </w:rPr>
              <w:t>7</w:t>
            </w:r>
            <w:r w:rsidR="00DC4FEA">
              <w:rPr>
                <w:noProof/>
                <w:webHidden/>
              </w:rPr>
              <w:fldChar w:fldCharType="end"/>
            </w:r>
          </w:hyperlink>
        </w:p>
        <w:p w:rsidR="00DC4FEA" w:rsidRDefault="00C243CA">
          <w:pPr>
            <w:pStyle w:val="TOC2"/>
            <w:rPr>
              <w:noProof/>
            </w:rPr>
          </w:pPr>
          <w:hyperlink w:anchor="_Toc360099495" w:history="1">
            <w:r w:rsidR="00DC4FEA" w:rsidRPr="003960AA">
              <w:rPr>
                <w:rStyle w:val="Hyperlink"/>
                <w:noProof/>
              </w:rPr>
              <w:t>Advertising of Complementary Medicines to Practitioners</w:t>
            </w:r>
            <w:r w:rsidR="00DC4FEA">
              <w:rPr>
                <w:noProof/>
                <w:webHidden/>
              </w:rPr>
              <w:tab/>
            </w:r>
            <w:r w:rsidR="00DC4FEA">
              <w:rPr>
                <w:noProof/>
                <w:webHidden/>
              </w:rPr>
              <w:fldChar w:fldCharType="begin"/>
            </w:r>
            <w:r w:rsidR="00DC4FEA">
              <w:rPr>
                <w:noProof/>
                <w:webHidden/>
              </w:rPr>
              <w:instrText xml:space="preserve"> PAGEREF _Toc360099495 \h </w:instrText>
            </w:r>
            <w:r w:rsidR="00DC4FEA">
              <w:rPr>
                <w:noProof/>
                <w:webHidden/>
              </w:rPr>
            </w:r>
            <w:r w:rsidR="00DC4FEA">
              <w:rPr>
                <w:noProof/>
                <w:webHidden/>
              </w:rPr>
              <w:fldChar w:fldCharType="separate"/>
            </w:r>
            <w:r w:rsidR="00DC4FEA">
              <w:rPr>
                <w:noProof/>
                <w:webHidden/>
              </w:rPr>
              <w:t>8</w:t>
            </w:r>
            <w:r w:rsidR="00DC4FEA">
              <w:rPr>
                <w:noProof/>
                <w:webHidden/>
              </w:rPr>
              <w:fldChar w:fldCharType="end"/>
            </w:r>
          </w:hyperlink>
        </w:p>
        <w:p w:rsidR="00DC4FEA" w:rsidRDefault="00C243CA">
          <w:pPr>
            <w:pStyle w:val="TOC1"/>
            <w:tabs>
              <w:tab w:val="right" w:leader="dot" w:pos="9628"/>
            </w:tabs>
            <w:rPr>
              <w:b w:val="0"/>
              <w:noProof/>
            </w:rPr>
          </w:pPr>
          <w:hyperlink w:anchor="_Toc360099496" w:history="1">
            <w:r w:rsidR="00DC4FEA" w:rsidRPr="003960AA">
              <w:rPr>
                <w:rStyle w:val="Hyperlink"/>
                <w:rFonts w:eastAsia="Times New Roman"/>
                <w:noProof/>
              </w:rPr>
              <w:t>4.</w:t>
            </w:r>
            <w:r w:rsidR="00DC4FEA">
              <w:rPr>
                <w:b w:val="0"/>
                <w:noProof/>
              </w:rPr>
              <w:tab/>
            </w:r>
            <w:r w:rsidR="00DC4FEA" w:rsidRPr="003960AA">
              <w:rPr>
                <w:rStyle w:val="Hyperlink"/>
                <w:rFonts w:eastAsia="Times New Roman"/>
                <w:noProof/>
              </w:rPr>
              <w:t>The Criteria for Regulation</w:t>
            </w:r>
            <w:r w:rsidR="00DC4FEA">
              <w:rPr>
                <w:noProof/>
                <w:webHidden/>
              </w:rPr>
              <w:tab/>
            </w:r>
            <w:r w:rsidR="00DC4FEA">
              <w:rPr>
                <w:noProof/>
                <w:webHidden/>
              </w:rPr>
              <w:fldChar w:fldCharType="begin"/>
            </w:r>
            <w:r w:rsidR="00DC4FEA">
              <w:rPr>
                <w:noProof/>
                <w:webHidden/>
              </w:rPr>
              <w:instrText xml:space="preserve"> PAGEREF _Toc360099496 \h </w:instrText>
            </w:r>
            <w:r w:rsidR="00DC4FEA">
              <w:rPr>
                <w:noProof/>
                <w:webHidden/>
              </w:rPr>
            </w:r>
            <w:r w:rsidR="00DC4FEA">
              <w:rPr>
                <w:noProof/>
                <w:webHidden/>
              </w:rPr>
              <w:fldChar w:fldCharType="separate"/>
            </w:r>
            <w:r w:rsidR="00DC4FEA">
              <w:rPr>
                <w:noProof/>
                <w:webHidden/>
              </w:rPr>
              <w:t>8</w:t>
            </w:r>
            <w:r w:rsidR="00DC4FEA">
              <w:rPr>
                <w:noProof/>
                <w:webHidden/>
              </w:rPr>
              <w:fldChar w:fldCharType="end"/>
            </w:r>
          </w:hyperlink>
        </w:p>
        <w:p w:rsidR="00DC4FEA" w:rsidRDefault="00C243CA">
          <w:pPr>
            <w:pStyle w:val="TOC2"/>
            <w:rPr>
              <w:noProof/>
            </w:rPr>
          </w:pPr>
          <w:hyperlink w:anchor="_Toc360099497" w:history="1">
            <w:r w:rsidR="00DC4FEA" w:rsidRPr="003960AA">
              <w:rPr>
                <w:rStyle w:val="Hyperlink"/>
                <w:noProof/>
              </w:rPr>
              <w:t>The AHMAC Criteria</w:t>
            </w:r>
            <w:r w:rsidR="00DC4FEA">
              <w:rPr>
                <w:noProof/>
                <w:webHidden/>
              </w:rPr>
              <w:tab/>
            </w:r>
            <w:r w:rsidR="00DC4FEA">
              <w:rPr>
                <w:noProof/>
                <w:webHidden/>
              </w:rPr>
              <w:fldChar w:fldCharType="begin"/>
            </w:r>
            <w:r w:rsidR="00DC4FEA">
              <w:rPr>
                <w:noProof/>
                <w:webHidden/>
              </w:rPr>
              <w:instrText xml:space="preserve"> PAGEREF _Toc360099497 \h </w:instrText>
            </w:r>
            <w:r w:rsidR="00DC4FEA">
              <w:rPr>
                <w:noProof/>
                <w:webHidden/>
              </w:rPr>
            </w:r>
            <w:r w:rsidR="00DC4FEA">
              <w:rPr>
                <w:noProof/>
                <w:webHidden/>
              </w:rPr>
              <w:fldChar w:fldCharType="separate"/>
            </w:r>
            <w:r w:rsidR="00DC4FEA">
              <w:rPr>
                <w:noProof/>
                <w:webHidden/>
              </w:rPr>
              <w:t>9</w:t>
            </w:r>
            <w:r w:rsidR="00DC4FEA">
              <w:rPr>
                <w:noProof/>
                <w:webHidden/>
              </w:rPr>
              <w:fldChar w:fldCharType="end"/>
            </w:r>
          </w:hyperlink>
        </w:p>
        <w:p w:rsidR="00DC4FEA" w:rsidRDefault="00C243CA">
          <w:pPr>
            <w:pStyle w:val="TOC1"/>
            <w:tabs>
              <w:tab w:val="right" w:leader="dot" w:pos="9628"/>
            </w:tabs>
            <w:rPr>
              <w:b w:val="0"/>
              <w:noProof/>
            </w:rPr>
          </w:pPr>
          <w:hyperlink w:anchor="_Toc360099498" w:history="1">
            <w:r w:rsidR="00DC4FEA" w:rsidRPr="003960AA">
              <w:rPr>
                <w:rStyle w:val="Hyperlink"/>
                <w:noProof/>
              </w:rPr>
              <w:t>5.</w:t>
            </w:r>
            <w:r w:rsidR="00DC4FEA">
              <w:rPr>
                <w:b w:val="0"/>
                <w:noProof/>
              </w:rPr>
              <w:tab/>
            </w:r>
            <w:r w:rsidR="00DC4FEA" w:rsidRPr="003960AA">
              <w:rPr>
                <w:rStyle w:val="Hyperlink"/>
                <w:noProof/>
              </w:rPr>
              <w:t>What the CHC is calling for</w:t>
            </w:r>
            <w:r w:rsidR="00DC4FEA">
              <w:rPr>
                <w:noProof/>
                <w:webHidden/>
              </w:rPr>
              <w:tab/>
            </w:r>
            <w:r w:rsidR="00DC4FEA">
              <w:rPr>
                <w:noProof/>
                <w:webHidden/>
              </w:rPr>
              <w:fldChar w:fldCharType="begin"/>
            </w:r>
            <w:r w:rsidR="00DC4FEA">
              <w:rPr>
                <w:noProof/>
                <w:webHidden/>
              </w:rPr>
              <w:instrText xml:space="preserve"> PAGEREF _Toc360099498 \h </w:instrText>
            </w:r>
            <w:r w:rsidR="00DC4FEA">
              <w:rPr>
                <w:noProof/>
                <w:webHidden/>
              </w:rPr>
            </w:r>
            <w:r w:rsidR="00DC4FEA">
              <w:rPr>
                <w:noProof/>
                <w:webHidden/>
              </w:rPr>
              <w:fldChar w:fldCharType="separate"/>
            </w:r>
            <w:r w:rsidR="00DC4FEA">
              <w:rPr>
                <w:noProof/>
                <w:webHidden/>
              </w:rPr>
              <w:t>9</w:t>
            </w:r>
            <w:r w:rsidR="00DC4FEA">
              <w:rPr>
                <w:noProof/>
                <w:webHidden/>
              </w:rPr>
              <w:fldChar w:fldCharType="end"/>
            </w:r>
          </w:hyperlink>
        </w:p>
        <w:p w:rsidR="00331D16" w:rsidRDefault="004D4174">
          <w:r>
            <w:fldChar w:fldCharType="end"/>
          </w:r>
        </w:p>
      </w:sdtContent>
    </w:sdt>
    <w:p w:rsidR="001C008F" w:rsidRDefault="001C008F" w:rsidP="00ED146F">
      <w:pPr>
        <w:rPr>
          <w:rFonts w:ascii="Calibri" w:eastAsia="Times New Roman" w:hAnsi="Calibri" w:cs="Calibri"/>
          <w:sz w:val="28"/>
          <w:highlight w:val="lightGray"/>
          <w:lang w:val="en-US"/>
        </w:rPr>
      </w:pPr>
      <w:r>
        <w:rPr>
          <w:highlight w:val="lightGray"/>
        </w:rPr>
        <w:br w:type="page"/>
      </w:r>
    </w:p>
    <w:p w:rsidR="0088366B" w:rsidRPr="004E1E2D" w:rsidRDefault="0088366B" w:rsidP="0028216F">
      <w:pPr>
        <w:pStyle w:val="Heading1"/>
      </w:pPr>
      <w:bookmarkStart w:id="1" w:name="_Toc360099486"/>
      <w:r w:rsidRPr="005920BE">
        <w:lastRenderedPageBreak/>
        <w:t>Executive</w:t>
      </w:r>
      <w:r w:rsidRPr="004E1E2D">
        <w:t xml:space="preserve"> </w:t>
      </w:r>
      <w:r w:rsidRPr="004F7B8F">
        <w:t>Summary</w:t>
      </w:r>
      <w:bookmarkEnd w:id="1"/>
      <w:r w:rsidRPr="004E1E2D">
        <w:t xml:space="preserve"> </w:t>
      </w:r>
    </w:p>
    <w:p w:rsidR="007D6E7E" w:rsidRDefault="007D6E7E" w:rsidP="007D6E7E">
      <w:pPr>
        <w:pStyle w:val="Heading1"/>
        <w:numPr>
          <w:ilvl w:val="0"/>
          <w:numId w:val="0"/>
        </w:numPr>
        <w:rPr>
          <w:sz w:val="24"/>
        </w:rPr>
      </w:pPr>
      <w:r w:rsidRPr="00F462A1">
        <w:rPr>
          <w:sz w:val="24"/>
        </w:rPr>
        <w:t>Regulatory changes threaten the scope of practice of Naturopaths and Western Herbal Medicine Practitioners</w:t>
      </w:r>
    </w:p>
    <w:p w:rsidR="007D6E7E" w:rsidRPr="00E256E5" w:rsidRDefault="007D6E7E" w:rsidP="00E256E5">
      <w:pPr>
        <w:pStyle w:val="ListParagraph"/>
        <w:numPr>
          <w:ilvl w:val="0"/>
          <w:numId w:val="36"/>
        </w:numPr>
        <w:ind w:left="714" w:hanging="357"/>
        <w:rPr>
          <w:b/>
        </w:rPr>
      </w:pPr>
      <w:r w:rsidRPr="00F17928">
        <w:t>The TGA In-Vitro Diagnostic devices regulations define healthcare practitioners as those registered by AHPRA</w:t>
      </w:r>
      <w:r w:rsidRPr="00E256E5">
        <w:rPr>
          <w:b/>
        </w:rPr>
        <w:t>.</w:t>
      </w:r>
      <w:r>
        <w:t xml:space="preserve"> </w:t>
      </w:r>
      <w:r w:rsidRPr="00F17928">
        <w:t xml:space="preserve">Non-AHPRA practitioners </w:t>
      </w:r>
      <w:r w:rsidRPr="00240CE2">
        <w:t>are therefore considered to be lay-people and this will have restricted</w:t>
      </w:r>
      <w:r w:rsidRPr="00F17928">
        <w:t xml:space="preserve"> access to some point-of-care testing devices currently used by practitioners.  This comes into force July 1 2014.</w:t>
      </w:r>
      <w:r>
        <w:rPr>
          <w:rStyle w:val="FootnoteReference"/>
        </w:rPr>
        <w:footnoteReference w:id="1"/>
      </w:r>
      <w:r w:rsidRPr="00F17928">
        <w:t xml:space="preserve">  </w:t>
      </w:r>
    </w:p>
    <w:p w:rsidR="007D6E7E" w:rsidRPr="00F17928" w:rsidRDefault="007D6E7E" w:rsidP="007D6E7E">
      <w:pPr>
        <w:pStyle w:val="Heading1"/>
        <w:numPr>
          <w:ilvl w:val="0"/>
          <w:numId w:val="36"/>
        </w:numPr>
        <w:spacing w:before="0" w:after="0"/>
        <w:rPr>
          <w:sz w:val="22"/>
          <w:szCs w:val="22"/>
        </w:rPr>
      </w:pPr>
      <w:r w:rsidRPr="00F17928">
        <w:rPr>
          <w:b w:val="0"/>
          <w:sz w:val="22"/>
          <w:szCs w:val="22"/>
        </w:rPr>
        <w:t>In the 2012 federal budget, the government announced a review of funding for health-fund rebates, with the intention of removing rebates for practices that are not considered to be evidence-based.  This is planned to be implemented January 1 2014.</w:t>
      </w:r>
      <w:r>
        <w:rPr>
          <w:rStyle w:val="FootnoteReference"/>
          <w:b w:val="0"/>
          <w:sz w:val="22"/>
          <w:szCs w:val="22"/>
        </w:rPr>
        <w:footnoteReference w:id="2"/>
      </w:r>
      <w:r w:rsidRPr="00F17928">
        <w:rPr>
          <w:b w:val="0"/>
          <w:sz w:val="22"/>
          <w:szCs w:val="22"/>
        </w:rPr>
        <w:t xml:space="preserve">  </w:t>
      </w:r>
    </w:p>
    <w:p w:rsidR="007D6E7E" w:rsidRPr="002D6FE6" w:rsidRDefault="007D6E7E" w:rsidP="007D6E7E">
      <w:pPr>
        <w:pStyle w:val="Heading1"/>
        <w:numPr>
          <w:ilvl w:val="0"/>
          <w:numId w:val="36"/>
        </w:numPr>
        <w:spacing w:before="0" w:after="0"/>
        <w:rPr>
          <w:sz w:val="22"/>
          <w:szCs w:val="22"/>
        </w:rPr>
      </w:pPr>
      <w:r>
        <w:rPr>
          <w:b w:val="0"/>
          <w:sz w:val="22"/>
          <w:szCs w:val="22"/>
        </w:rPr>
        <w:t>For the purposes of advertising, currently Naturopaths and Western Herbal Medicine Practitioners are classified as health care practitioners and excluded from advertising regulations.</w:t>
      </w:r>
      <w:r>
        <w:rPr>
          <w:rStyle w:val="FootnoteReference"/>
          <w:b w:val="0"/>
          <w:sz w:val="22"/>
          <w:szCs w:val="22"/>
        </w:rPr>
        <w:footnoteReference w:id="3"/>
      </w:r>
      <w:r w:rsidRPr="002D6FE6">
        <w:rPr>
          <w:b w:val="0"/>
          <w:i/>
          <w:sz w:val="22"/>
          <w:szCs w:val="22"/>
          <w:highlight w:val="yellow"/>
        </w:rPr>
        <w:t xml:space="preserve"> </w:t>
      </w:r>
    </w:p>
    <w:p w:rsidR="007D6E7E" w:rsidRPr="00C716AC" w:rsidRDefault="007D6E7E" w:rsidP="007D6E7E">
      <w:pPr>
        <w:pStyle w:val="Heading1"/>
        <w:numPr>
          <w:ilvl w:val="0"/>
          <w:numId w:val="36"/>
        </w:numPr>
        <w:spacing w:before="0" w:after="0"/>
        <w:rPr>
          <w:sz w:val="22"/>
          <w:szCs w:val="22"/>
        </w:rPr>
      </w:pPr>
      <w:r>
        <w:rPr>
          <w:b w:val="0"/>
          <w:sz w:val="22"/>
          <w:szCs w:val="22"/>
        </w:rPr>
        <w:t xml:space="preserve"> In June 2013 the TGA released a regulatory impact statement on proposed changes to advertising regulations, which proposes changing the definition of health care practitioner to those practices registered by AHPRA.  This would see non-AHPRA practitioners treated as lay people and covered by advertising regulations.  This will significantly impact the ability of these practitioners to receive education and advertising from practitioner-only supplement manufacturers. </w:t>
      </w:r>
      <w:r>
        <w:rPr>
          <w:rStyle w:val="FootnoteReference"/>
          <w:b w:val="0"/>
          <w:sz w:val="22"/>
          <w:szCs w:val="22"/>
        </w:rPr>
        <w:footnoteReference w:id="4"/>
      </w:r>
    </w:p>
    <w:p w:rsidR="007D6E7E" w:rsidRDefault="007D6E7E" w:rsidP="007D6E7E">
      <w:pPr>
        <w:pStyle w:val="Heading1"/>
        <w:numPr>
          <w:ilvl w:val="0"/>
          <w:numId w:val="0"/>
        </w:numPr>
        <w:spacing w:before="0" w:after="0"/>
        <w:ind w:left="426" w:hanging="426"/>
        <w:rPr>
          <w:b w:val="0"/>
          <w:sz w:val="22"/>
          <w:szCs w:val="22"/>
        </w:rPr>
      </w:pPr>
    </w:p>
    <w:p w:rsidR="007D6E7E" w:rsidRPr="00C716AC" w:rsidRDefault="007D6E7E" w:rsidP="007D6E7E">
      <w:pPr>
        <w:pStyle w:val="Heading1"/>
        <w:numPr>
          <w:ilvl w:val="0"/>
          <w:numId w:val="0"/>
        </w:numPr>
        <w:spacing w:before="0" w:after="0"/>
        <w:ind w:left="66"/>
        <w:rPr>
          <w:sz w:val="22"/>
          <w:szCs w:val="22"/>
        </w:rPr>
      </w:pPr>
      <w:r>
        <w:rPr>
          <w:sz w:val="22"/>
          <w:szCs w:val="22"/>
        </w:rPr>
        <w:t xml:space="preserve">It is the belief of the CHC that these proposed changes have the ability to seriously impact the scope of practice of </w:t>
      </w:r>
      <w:r w:rsidRPr="00C716AC">
        <w:rPr>
          <w:sz w:val="22"/>
          <w:szCs w:val="22"/>
        </w:rPr>
        <w:t>Naturopaths and Western Herbal Medicine Practitioners</w:t>
      </w:r>
      <w:r>
        <w:rPr>
          <w:sz w:val="22"/>
          <w:szCs w:val="22"/>
        </w:rPr>
        <w:t>.  We believe that these practitioners are very important to the complementary medicine industry and the health care of Australian consumer</w:t>
      </w:r>
      <w:r w:rsidR="000C59CB">
        <w:rPr>
          <w:sz w:val="22"/>
          <w:szCs w:val="22"/>
        </w:rPr>
        <w:t>s</w:t>
      </w:r>
      <w:r>
        <w:rPr>
          <w:sz w:val="22"/>
          <w:szCs w:val="22"/>
        </w:rPr>
        <w:t xml:space="preserve">.   The CHC is therefore planning to promote and lobby for the inclusion of Naturopaths and </w:t>
      </w:r>
      <w:r w:rsidRPr="00C716AC">
        <w:rPr>
          <w:sz w:val="22"/>
          <w:szCs w:val="22"/>
        </w:rPr>
        <w:t>Western Herbal Medicine Practitioners</w:t>
      </w:r>
      <w:r>
        <w:rPr>
          <w:sz w:val="22"/>
          <w:szCs w:val="22"/>
        </w:rPr>
        <w:t xml:space="preserve"> under AHPRA as registered health professions. The CHC is not planning to replace the role of professional organisations which represent natural therapists currently.</w:t>
      </w:r>
    </w:p>
    <w:p w:rsidR="00E256E5" w:rsidRDefault="00E256E5" w:rsidP="00202F94">
      <w:pPr>
        <w:pStyle w:val="Heading2"/>
        <w:spacing w:after="0"/>
      </w:pPr>
      <w:bookmarkStart w:id="2" w:name="_Toc360099487"/>
    </w:p>
    <w:p w:rsidR="00E256E5" w:rsidRDefault="00E256E5" w:rsidP="00202F94">
      <w:pPr>
        <w:pStyle w:val="Heading2"/>
        <w:spacing w:after="0"/>
      </w:pPr>
    </w:p>
    <w:p w:rsidR="00E256E5" w:rsidRDefault="00E256E5" w:rsidP="00202F94">
      <w:pPr>
        <w:pStyle w:val="Heading2"/>
        <w:spacing w:after="0"/>
      </w:pPr>
    </w:p>
    <w:p w:rsidR="00E256E5" w:rsidRDefault="00E256E5" w:rsidP="00202F94">
      <w:pPr>
        <w:pStyle w:val="Heading2"/>
        <w:spacing w:after="0"/>
      </w:pPr>
    </w:p>
    <w:p w:rsidR="00E256E5" w:rsidRDefault="00E256E5" w:rsidP="00202F94">
      <w:pPr>
        <w:pStyle w:val="Heading2"/>
        <w:spacing w:after="0"/>
      </w:pPr>
    </w:p>
    <w:p w:rsidR="00202F94" w:rsidRDefault="00202F94" w:rsidP="00202F94">
      <w:pPr>
        <w:pStyle w:val="Heading2"/>
        <w:spacing w:after="0"/>
      </w:pPr>
      <w:r>
        <w:lastRenderedPageBreak/>
        <w:t>Call to Action</w:t>
      </w:r>
      <w:bookmarkEnd w:id="2"/>
    </w:p>
    <w:p w:rsidR="00061B73" w:rsidRPr="00293145" w:rsidRDefault="00202F94" w:rsidP="00202F94">
      <w:pPr>
        <w:rPr>
          <w:b/>
        </w:rPr>
      </w:pPr>
      <w:r w:rsidRPr="00293145">
        <w:rPr>
          <w:b/>
        </w:rPr>
        <w:t>If you are a Naturopath or Western Herbal Medicine Practitioner, these issues will affect you.</w:t>
      </w:r>
    </w:p>
    <w:p w:rsidR="00293145" w:rsidRDefault="00182BFB" w:rsidP="00202F94">
      <w:r>
        <w:t xml:space="preserve">Click </w:t>
      </w:r>
      <w:hyperlink r:id="rId10" w:history="1">
        <w:r w:rsidR="001B2931" w:rsidRPr="001B2931">
          <w:rPr>
            <w:rStyle w:val="Hyperlink"/>
          </w:rPr>
          <w:t>here</w:t>
        </w:r>
      </w:hyperlink>
      <w:r w:rsidR="001B2931">
        <w:t xml:space="preserve"> </w:t>
      </w:r>
      <w:r>
        <w:t>t</w:t>
      </w:r>
      <w:r w:rsidR="00293145">
        <w:t xml:space="preserve">o </w:t>
      </w:r>
      <w:r w:rsidR="00293145" w:rsidRPr="005D2260">
        <w:t>register your interest and</w:t>
      </w:r>
      <w:r w:rsidR="0008078F">
        <w:t>/</w:t>
      </w:r>
      <w:r w:rsidR="00D55AB8">
        <w:t xml:space="preserve">or </w:t>
      </w:r>
      <w:r w:rsidR="00D55AB8" w:rsidRPr="005D2260">
        <w:t>support</w:t>
      </w:r>
      <w:r>
        <w:t xml:space="preserve"> for the Registration of Practitioners Campaign.</w:t>
      </w:r>
    </w:p>
    <w:p w:rsidR="00C95230" w:rsidRPr="00293145" w:rsidRDefault="005D2260" w:rsidP="00293145">
      <w:r>
        <w:t>To keep informed of</w:t>
      </w:r>
      <w:r w:rsidR="00293145">
        <w:t xml:space="preserve"> the C</w:t>
      </w:r>
      <w:r>
        <w:t xml:space="preserve"> HC</w:t>
      </w:r>
      <w:r w:rsidR="00293145">
        <w:t xml:space="preserve">’s actions and the </w:t>
      </w:r>
      <w:hyperlink r:id="rId11" w:history="1">
        <w:r w:rsidR="00293145" w:rsidRPr="00293145">
          <w:rPr>
            <w:rStyle w:val="Hyperlink"/>
          </w:rPr>
          <w:t>Registration of Practitioners Campaign</w:t>
        </w:r>
      </w:hyperlink>
      <w:r w:rsidR="00293145">
        <w:t xml:space="preserve"> </w:t>
      </w:r>
      <w:r w:rsidR="0025776E">
        <w:t xml:space="preserve">be sure to visit our webpage </w:t>
      </w:r>
      <w:r w:rsidR="00293145">
        <w:t xml:space="preserve"> </w:t>
      </w:r>
      <w:hyperlink r:id="rId12" w:history="1">
        <w:r w:rsidR="00293145">
          <w:rPr>
            <w:rStyle w:val="Hyperlink"/>
          </w:rPr>
          <w:t>http://chc.org.au/Registration-of-Practitioners</w:t>
        </w:r>
      </w:hyperlink>
      <w:r w:rsidR="0025776E">
        <w:t>, and check back regularly for important updates.</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213"/>
        <w:gridCol w:w="6425"/>
      </w:tblGrid>
      <w:tr w:rsidR="00F63A47" w:rsidRPr="00C95230" w:rsidTr="00106992">
        <w:trPr>
          <w:tblCellSpacing w:w="0" w:type="dxa"/>
        </w:trPr>
        <w:tc>
          <w:tcPr>
            <w:tcW w:w="1667" w:type="pct"/>
            <w:shd w:val="clear" w:color="auto" w:fill="FFFFFF"/>
            <w:vAlign w:val="bottom"/>
            <w:hideMark/>
          </w:tcPr>
          <w:p w:rsidR="00F63A47" w:rsidRPr="00C95230" w:rsidRDefault="00F63A47" w:rsidP="00C95230">
            <w:pPr>
              <w:widowControl w:val="0"/>
              <w:rPr>
                <w:rFonts w:cs="Arial"/>
                <w:highlight w:val="yellow"/>
              </w:rPr>
            </w:pPr>
          </w:p>
        </w:tc>
        <w:tc>
          <w:tcPr>
            <w:tcW w:w="3333" w:type="pct"/>
            <w:shd w:val="clear" w:color="auto" w:fill="FFFFFF"/>
            <w:vAlign w:val="bottom"/>
            <w:hideMark/>
          </w:tcPr>
          <w:p w:rsidR="00F63A47" w:rsidRPr="00C95230" w:rsidRDefault="00F63A47" w:rsidP="00C95230">
            <w:pPr>
              <w:widowControl w:val="0"/>
              <w:rPr>
                <w:rFonts w:cs="Arial"/>
                <w:highlight w:val="yellow"/>
              </w:rPr>
            </w:pPr>
          </w:p>
        </w:tc>
      </w:tr>
    </w:tbl>
    <w:p w:rsidR="0011613D" w:rsidRDefault="0088366B" w:rsidP="0047093A">
      <w:pPr>
        <w:pStyle w:val="Heading2"/>
        <w:spacing w:after="0"/>
      </w:pPr>
      <w:bookmarkStart w:id="3" w:name="_Toc360099488"/>
      <w:r w:rsidRPr="008422E7">
        <w:t>Background</w:t>
      </w:r>
      <w:bookmarkEnd w:id="3"/>
    </w:p>
    <w:p w:rsidR="0047093A" w:rsidRDefault="0047093A" w:rsidP="0047093A">
      <w:pPr>
        <w:pStyle w:val="Heading2"/>
        <w:spacing w:before="0"/>
        <w:rPr>
          <w:rFonts w:asciiTheme="minorHAnsi" w:eastAsiaTheme="minorEastAsia" w:hAnsiTheme="minorHAnsi" w:cstheme="minorBidi"/>
          <w:b w:val="0"/>
          <w:sz w:val="22"/>
          <w:u w:val="none"/>
        </w:rPr>
      </w:pPr>
    </w:p>
    <w:p w:rsidR="00061B73" w:rsidRDefault="00193FF2" w:rsidP="00061B73">
      <w:pPr>
        <w:pStyle w:val="Heading2"/>
        <w:spacing w:before="0"/>
        <w:rPr>
          <w:rFonts w:asciiTheme="minorHAnsi" w:hAnsiTheme="minorHAnsi"/>
          <w:b w:val="0"/>
          <w:sz w:val="22"/>
          <w:u w:val="none"/>
        </w:rPr>
      </w:pPr>
      <w:bookmarkStart w:id="4" w:name="_Toc360099489"/>
      <w:r w:rsidRPr="002B4E51">
        <w:rPr>
          <w:rFonts w:asciiTheme="minorHAnsi" w:hAnsiTheme="minorHAnsi"/>
          <w:b w:val="0"/>
          <w:sz w:val="22"/>
          <w:u w:val="none"/>
        </w:rPr>
        <w:t>The</w:t>
      </w:r>
      <w:r w:rsidR="0011613D">
        <w:rPr>
          <w:rFonts w:asciiTheme="minorHAnsi" w:hAnsiTheme="minorHAnsi"/>
          <w:b w:val="0"/>
          <w:sz w:val="22"/>
          <w:u w:val="none"/>
        </w:rPr>
        <w:t xml:space="preserve"> </w:t>
      </w:r>
      <w:r w:rsidRPr="002B4E51">
        <w:rPr>
          <w:rFonts w:asciiTheme="minorHAnsi" w:hAnsiTheme="minorHAnsi"/>
          <w:b w:val="0"/>
          <w:sz w:val="22"/>
          <w:u w:val="none"/>
        </w:rPr>
        <w:t xml:space="preserve">statutory registration body </w:t>
      </w:r>
      <w:r w:rsidR="0088366B" w:rsidRPr="002B4E51">
        <w:rPr>
          <w:rFonts w:asciiTheme="minorHAnsi" w:hAnsiTheme="minorHAnsi"/>
          <w:b w:val="0"/>
          <w:sz w:val="22"/>
          <w:u w:val="none"/>
        </w:rPr>
        <w:t xml:space="preserve">that regulates a range of </w:t>
      </w:r>
      <w:r w:rsidR="0047093A">
        <w:rPr>
          <w:rFonts w:asciiTheme="minorHAnsi" w:hAnsiTheme="minorHAnsi"/>
          <w:b w:val="0"/>
          <w:sz w:val="22"/>
          <w:u w:val="none"/>
        </w:rPr>
        <w:t>h</w:t>
      </w:r>
      <w:r w:rsidR="0088366B" w:rsidRPr="002B4E51">
        <w:rPr>
          <w:rFonts w:asciiTheme="minorHAnsi" w:hAnsiTheme="minorHAnsi"/>
          <w:b w:val="0"/>
          <w:sz w:val="22"/>
          <w:u w:val="none"/>
        </w:rPr>
        <w:t xml:space="preserve">ealthcare </w:t>
      </w:r>
      <w:r w:rsidR="0047093A">
        <w:rPr>
          <w:rFonts w:asciiTheme="minorHAnsi" w:hAnsiTheme="minorHAnsi"/>
          <w:b w:val="0"/>
          <w:sz w:val="22"/>
          <w:u w:val="none"/>
        </w:rPr>
        <w:t>p</w:t>
      </w:r>
      <w:r w:rsidR="00424B3A" w:rsidRPr="002B4E51">
        <w:rPr>
          <w:rFonts w:asciiTheme="minorHAnsi" w:hAnsiTheme="minorHAnsi"/>
          <w:b w:val="0"/>
          <w:sz w:val="22"/>
          <w:u w:val="none"/>
        </w:rPr>
        <w:t>ractitioners</w:t>
      </w:r>
      <w:r w:rsidR="0088366B" w:rsidRPr="002B4E51">
        <w:rPr>
          <w:rFonts w:asciiTheme="minorHAnsi" w:hAnsiTheme="minorHAnsi"/>
          <w:b w:val="0"/>
          <w:sz w:val="22"/>
          <w:u w:val="none"/>
        </w:rPr>
        <w:t xml:space="preserve"> </w:t>
      </w:r>
      <w:r w:rsidRPr="002B4E51">
        <w:rPr>
          <w:rFonts w:asciiTheme="minorHAnsi" w:hAnsiTheme="minorHAnsi"/>
          <w:b w:val="0"/>
          <w:sz w:val="22"/>
          <w:u w:val="none"/>
        </w:rPr>
        <w:t>in Australia</w:t>
      </w:r>
      <w:r w:rsidR="0047093A">
        <w:rPr>
          <w:rFonts w:asciiTheme="minorHAnsi" w:hAnsiTheme="minorHAnsi"/>
          <w:b w:val="0"/>
          <w:sz w:val="22"/>
          <w:u w:val="none"/>
        </w:rPr>
        <w:t xml:space="preserve"> – </w:t>
      </w:r>
      <w:r w:rsidR="00715D01">
        <w:rPr>
          <w:rFonts w:asciiTheme="minorHAnsi" w:hAnsiTheme="minorHAnsi"/>
          <w:b w:val="0"/>
          <w:sz w:val="22"/>
          <w:u w:val="none"/>
        </w:rPr>
        <w:t xml:space="preserve">the </w:t>
      </w:r>
      <w:r w:rsidR="0088366B" w:rsidRPr="002B4E51">
        <w:rPr>
          <w:rFonts w:asciiTheme="minorHAnsi" w:hAnsiTheme="minorHAnsi"/>
          <w:b w:val="0"/>
          <w:sz w:val="22"/>
          <w:u w:val="none"/>
        </w:rPr>
        <w:t xml:space="preserve">Australian Healthcare Practitioner Regulation Agency (AHPRA, </w:t>
      </w:r>
      <w:hyperlink r:id="rId13" w:history="1">
        <w:r w:rsidR="0088366B" w:rsidRPr="002B4E51">
          <w:rPr>
            <w:rStyle w:val="Hyperlink"/>
            <w:rFonts w:asciiTheme="minorHAnsi" w:hAnsiTheme="minorHAnsi"/>
            <w:b w:val="0"/>
            <w:sz w:val="22"/>
            <w:u w:val="none"/>
          </w:rPr>
          <w:t>http://www.ahpra.gov.au/</w:t>
        </w:r>
      </w:hyperlink>
      <w:r w:rsidR="0088366B" w:rsidRPr="002B4E51">
        <w:rPr>
          <w:rFonts w:asciiTheme="minorHAnsi" w:hAnsiTheme="minorHAnsi"/>
          <w:b w:val="0"/>
          <w:sz w:val="22"/>
          <w:u w:val="none"/>
        </w:rPr>
        <w:t>)</w:t>
      </w:r>
      <w:r w:rsidR="0047093A">
        <w:rPr>
          <w:rFonts w:asciiTheme="minorHAnsi" w:hAnsiTheme="minorHAnsi"/>
          <w:b w:val="0"/>
          <w:sz w:val="22"/>
          <w:u w:val="none"/>
        </w:rPr>
        <w:t xml:space="preserve"> – </w:t>
      </w:r>
      <w:r w:rsidRPr="002B4E51">
        <w:rPr>
          <w:rFonts w:asciiTheme="minorHAnsi" w:hAnsiTheme="minorHAnsi"/>
          <w:b w:val="0"/>
          <w:sz w:val="22"/>
          <w:u w:val="none"/>
        </w:rPr>
        <w:t xml:space="preserve">is responsible </w:t>
      </w:r>
      <w:r w:rsidR="00C64A4A" w:rsidRPr="00C64A4A">
        <w:rPr>
          <w:rFonts w:asciiTheme="minorHAnsi" w:hAnsiTheme="minorHAnsi"/>
          <w:b w:val="0"/>
          <w:sz w:val="22"/>
          <w:u w:val="none"/>
        </w:rPr>
        <w:t xml:space="preserve">for </w:t>
      </w:r>
      <w:r w:rsidR="00C64A4A">
        <w:rPr>
          <w:rFonts w:asciiTheme="minorHAnsi" w:hAnsiTheme="minorHAnsi"/>
          <w:b w:val="0"/>
          <w:sz w:val="22"/>
          <w:u w:val="none"/>
        </w:rPr>
        <w:t>implementing and overseeing the National Registration and Accreditation Scheme (NRAS) and supporting the various registered professions’ National Boards.</w:t>
      </w:r>
      <w:bookmarkEnd w:id="4"/>
    </w:p>
    <w:p w:rsidR="00061B73" w:rsidRDefault="00061B73" w:rsidP="002B4E51">
      <w:pPr>
        <w:pStyle w:val="Heading2"/>
        <w:rPr>
          <w:rFonts w:asciiTheme="minorHAnsi" w:eastAsiaTheme="minorEastAsia" w:hAnsiTheme="minorHAnsi" w:cstheme="minorBidi"/>
          <w:b w:val="0"/>
          <w:sz w:val="22"/>
          <w:u w:val="none"/>
        </w:rPr>
      </w:pPr>
    </w:p>
    <w:p w:rsidR="0011613D" w:rsidRPr="002B4E51" w:rsidRDefault="00C64A4A" w:rsidP="002B4E51">
      <w:pPr>
        <w:pStyle w:val="Heading2"/>
        <w:rPr>
          <w:rFonts w:eastAsia="Times New Roman" w:cs="Arial"/>
          <w:color w:val="555555"/>
        </w:rPr>
      </w:pPr>
      <w:bookmarkStart w:id="5" w:name="_Toc360099490"/>
      <w:r>
        <w:rPr>
          <w:rFonts w:asciiTheme="minorHAnsi" w:hAnsiTheme="minorHAnsi"/>
          <w:b w:val="0"/>
          <w:sz w:val="22"/>
          <w:u w:val="none"/>
        </w:rPr>
        <w:t xml:space="preserve">The objectives of </w:t>
      </w:r>
      <w:r w:rsidR="0047093A">
        <w:rPr>
          <w:rFonts w:asciiTheme="minorHAnsi" w:hAnsiTheme="minorHAnsi"/>
          <w:b w:val="0"/>
          <w:sz w:val="22"/>
          <w:u w:val="none"/>
        </w:rPr>
        <w:t xml:space="preserve">the </w:t>
      </w:r>
      <w:r>
        <w:rPr>
          <w:rFonts w:asciiTheme="minorHAnsi" w:hAnsiTheme="minorHAnsi"/>
          <w:b w:val="0"/>
          <w:sz w:val="22"/>
          <w:u w:val="none"/>
        </w:rPr>
        <w:t>National Scheme are to</w:t>
      </w:r>
      <w:r w:rsidR="0011613D" w:rsidRPr="002B4E51">
        <w:rPr>
          <w:rFonts w:asciiTheme="minorHAnsi" w:hAnsiTheme="minorHAnsi"/>
          <w:b w:val="0"/>
          <w:sz w:val="22"/>
          <w:u w:val="none"/>
        </w:rPr>
        <w:t>:</w:t>
      </w:r>
      <w:bookmarkEnd w:id="5"/>
    </w:p>
    <w:p w:rsidR="0011613D" w:rsidRPr="00C64A4A" w:rsidRDefault="00C64A4A" w:rsidP="0011613D">
      <w:pPr>
        <w:numPr>
          <w:ilvl w:val="0"/>
          <w:numId w:val="29"/>
        </w:numPr>
        <w:shd w:val="clear" w:color="auto" w:fill="FFFFFF"/>
        <w:spacing w:before="0" w:after="0" w:line="270" w:lineRule="atLeast"/>
        <w:ind w:left="480"/>
        <w:rPr>
          <w:rFonts w:eastAsia="Times New Roman" w:cs="Arial"/>
          <w:color w:val="000000" w:themeColor="text1"/>
        </w:rPr>
      </w:pPr>
      <w:r w:rsidRPr="00C64A4A">
        <w:rPr>
          <w:rFonts w:eastAsia="Times New Roman" w:cs="Arial"/>
          <w:color w:val="000000" w:themeColor="text1"/>
        </w:rPr>
        <w:t>H</w:t>
      </w:r>
      <w:r w:rsidR="0011613D" w:rsidRPr="00C64A4A">
        <w:rPr>
          <w:rFonts w:eastAsia="Times New Roman" w:cs="Arial"/>
          <w:color w:val="000000" w:themeColor="text1"/>
        </w:rPr>
        <w:t>elp to keep the public safe by ensuring that only health</w:t>
      </w:r>
      <w:r w:rsidR="0042351A">
        <w:rPr>
          <w:rFonts w:eastAsia="Times New Roman" w:cs="Arial"/>
          <w:color w:val="000000" w:themeColor="text1"/>
        </w:rPr>
        <w:t>care</w:t>
      </w:r>
      <w:r w:rsidR="0011613D" w:rsidRPr="00C64A4A">
        <w:rPr>
          <w:rFonts w:eastAsia="Times New Roman" w:cs="Arial"/>
          <w:color w:val="000000" w:themeColor="text1"/>
        </w:rPr>
        <w:t xml:space="preserve"> practitioners who are suitably trained and qualified to practise in a competent and ethical manner are registered</w:t>
      </w:r>
      <w:r w:rsidR="00715D01">
        <w:rPr>
          <w:rFonts w:eastAsia="Times New Roman" w:cs="Arial"/>
          <w:color w:val="000000" w:themeColor="text1"/>
        </w:rPr>
        <w:t>;</w:t>
      </w:r>
    </w:p>
    <w:p w:rsidR="0011613D" w:rsidRPr="00C64A4A" w:rsidRDefault="00C64A4A" w:rsidP="0011613D">
      <w:pPr>
        <w:numPr>
          <w:ilvl w:val="0"/>
          <w:numId w:val="29"/>
        </w:numPr>
        <w:shd w:val="clear" w:color="auto" w:fill="FFFFFF"/>
        <w:spacing w:before="0" w:after="0" w:line="270" w:lineRule="atLeast"/>
        <w:ind w:left="480"/>
        <w:rPr>
          <w:rFonts w:eastAsia="Times New Roman" w:cs="Arial"/>
          <w:color w:val="000000" w:themeColor="text1"/>
        </w:rPr>
      </w:pPr>
      <w:r w:rsidRPr="00C64A4A">
        <w:rPr>
          <w:rFonts w:eastAsia="Times New Roman" w:cs="Arial"/>
          <w:color w:val="000000" w:themeColor="text1"/>
        </w:rPr>
        <w:t>F</w:t>
      </w:r>
      <w:r w:rsidR="0011613D" w:rsidRPr="00C64A4A">
        <w:rPr>
          <w:rFonts w:eastAsia="Times New Roman" w:cs="Arial"/>
          <w:color w:val="000000" w:themeColor="text1"/>
        </w:rPr>
        <w:t>acilita</w:t>
      </w:r>
      <w:r w:rsidRPr="00C64A4A">
        <w:rPr>
          <w:rFonts w:eastAsia="Times New Roman" w:cs="Arial"/>
          <w:color w:val="000000" w:themeColor="text1"/>
        </w:rPr>
        <w:t>te</w:t>
      </w:r>
      <w:r w:rsidR="0011613D" w:rsidRPr="00C64A4A">
        <w:rPr>
          <w:rFonts w:eastAsia="Times New Roman" w:cs="Arial"/>
          <w:color w:val="000000" w:themeColor="text1"/>
        </w:rPr>
        <w:t xml:space="preserve"> workforce mobility for health</w:t>
      </w:r>
      <w:r w:rsidR="0042351A">
        <w:rPr>
          <w:rFonts w:eastAsia="Times New Roman" w:cs="Arial"/>
          <w:color w:val="000000" w:themeColor="text1"/>
        </w:rPr>
        <w:t>care</w:t>
      </w:r>
      <w:r w:rsidR="0011613D" w:rsidRPr="00C64A4A">
        <w:rPr>
          <w:rFonts w:eastAsia="Times New Roman" w:cs="Arial"/>
          <w:color w:val="000000" w:themeColor="text1"/>
        </w:rPr>
        <w:t xml:space="preserve"> practitioners</w:t>
      </w:r>
      <w:r w:rsidR="00715D01">
        <w:rPr>
          <w:rFonts w:eastAsia="Times New Roman" w:cs="Arial"/>
          <w:color w:val="000000" w:themeColor="text1"/>
        </w:rPr>
        <w:t>;</w:t>
      </w:r>
    </w:p>
    <w:p w:rsidR="0011613D" w:rsidRPr="00C64A4A" w:rsidRDefault="00C64A4A" w:rsidP="0011613D">
      <w:pPr>
        <w:numPr>
          <w:ilvl w:val="0"/>
          <w:numId w:val="29"/>
        </w:numPr>
        <w:shd w:val="clear" w:color="auto" w:fill="FFFFFF"/>
        <w:spacing w:before="0" w:after="0" w:line="270" w:lineRule="atLeast"/>
        <w:ind w:left="480"/>
        <w:rPr>
          <w:rFonts w:eastAsia="Times New Roman" w:cs="Arial"/>
          <w:color w:val="000000" w:themeColor="text1"/>
        </w:rPr>
      </w:pPr>
      <w:r w:rsidRPr="00C64A4A">
        <w:rPr>
          <w:rFonts w:eastAsia="Times New Roman" w:cs="Arial"/>
          <w:color w:val="000000" w:themeColor="text1"/>
        </w:rPr>
        <w:t>F</w:t>
      </w:r>
      <w:r w:rsidR="0011613D" w:rsidRPr="00C64A4A">
        <w:rPr>
          <w:rFonts w:eastAsia="Times New Roman" w:cs="Arial"/>
          <w:color w:val="000000" w:themeColor="text1"/>
        </w:rPr>
        <w:t>acilita</w:t>
      </w:r>
      <w:r w:rsidRPr="00C64A4A">
        <w:rPr>
          <w:rFonts w:eastAsia="Times New Roman" w:cs="Arial"/>
          <w:color w:val="000000" w:themeColor="text1"/>
        </w:rPr>
        <w:t>te</w:t>
      </w:r>
      <w:r w:rsidR="0011613D" w:rsidRPr="00C64A4A">
        <w:rPr>
          <w:rFonts w:eastAsia="Times New Roman" w:cs="Arial"/>
          <w:color w:val="000000" w:themeColor="text1"/>
        </w:rPr>
        <w:t xml:space="preserve"> provision of high quality education and training for practitioners</w:t>
      </w:r>
      <w:r w:rsidR="00715D01">
        <w:rPr>
          <w:rFonts w:eastAsia="Times New Roman" w:cs="Arial"/>
          <w:color w:val="000000" w:themeColor="text1"/>
        </w:rPr>
        <w:t>;</w:t>
      </w:r>
    </w:p>
    <w:p w:rsidR="0011613D" w:rsidRPr="00C64A4A" w:rsidRDefault="00C64A4A" w:rsidP="0011613D">
      <w:pPr>
        <w:numPr>
          <w:ilvl w:val="0"/>
          <w:numId w:val="29"/>
        </w:numPr>
        <w:shd w:val="clear" w:color="auto" w:fill="FFFFFF"/>
        <w:spacing w:before="0" w:after="0" w:line="270" w:lineRule="atLeast"/>
        <w:ind w:left="480"/>
        <w:rPr>
          <w:rFonts w:eastAsia="Times New Roman" w:cs="Arial"/>
          <w:color w:val="000000" w:themeColor="text1"/>
        </w:rPr>
      </w:pPr>
      <w:r w:rsidRPr="00C64A4A">
        <w:rPr>
          <w:rFonts w:eastAsia="Times New Roman" w:cs="Arial"/>
          <w:color w:val="000000" w:themeColor="text1"/>
        </w:rPr>
        <w:t>F</w:t>
      </w:r>
      <w:r w:rsidR="0011613D" w:rsidRPr="00C64A4A">
        <w:rPr>
          <w:rFonts w:eastAsia="Times New Roman" w:cs="Arial"/>
          <w:color w:val="000000" w:themeColor="text1"/>
        </w:rPr>
        <w:t>acilitat</w:t>
      </w:r>
      <w:r w:rsidRPr="00C64A4A">
        <w:rPr>
          <w:rFonts w:eastAsia="Times New Roman" w:cs="Arial"/>
          <w:color w:val="000000" w:themeColor="text1"/>
        </w:rPr>
        <w:t>e</w:t>
      </w:r>
      <w:r w:rsidR="0011613D" w:rsidRPr="00C64A4A">
        <w:rPr>
          <w:rFonts w:eastAsia="Times New Roman" w:cs="Arial"/>
          <w:color w:val="000000" w:themeColor="text1"/>
        </w:rPr>
        <w:t xml:space="preserve"> the assessment of overseas qualified practitioners</w:t>
      </w:r>
      <w:r w:rsidR="00715D01">
        <w:rPr>
          <w:rFonts w:eastAsia="Times New Roman" w:cs="Arial"/>
          <w:color w:val="000000" w:themeColor="text1"/>
        </w:rPr>
        <w:t>;</w:t>
      </w:r>
    </w:p>
    <w:p w:rsidR="00C64A4A" w:rsidRPr="00C64A4A" w:rsidRDefault="00C64A4A" w:rsidP="00C64A4A">
      <w:pPr>
        <w:numPr>
          <w:ilvl w:val="0"/>
          <w:numId w:val="29"/>
        </w:numPr>
        <w:shd w:val="clear" w:color="auto" w:fill="FFFFFF"/>
        <w:spacing w:before="0" w:after="0" w:line="270" w:lineRule="atLeast"/>
        <w:ind w:left="480"/>
        <w:rPr>
          <w:color w:val="000000" w:themeColor="text1"/>
        </w:rPr>
      </w:pPr>
      <w:r w:rsidRPr="00C64A4A">
        <w:rPr>
          <w:rFonts w:eastAsia="Times New Roman" w:cs="Arial"/>
          <w:color w:val="000000" w:themeColor="text1"/>
        </w:rPr>
        <w:t>F</w:t>
      </w:r>
      <w:r w:rsidR="0011613D" w:rsidRPr="00C64A4A">
        <w:rPr>
          <w:rFonts w:eastAsia="Times New Roman" w:cs="Arial"/>
          <w:color w:val="000000" w:themeColor="text1"/>
        </w:rPr>
        <w:t>acilitat</w:t>
      </w:r>
      <w:r w:rsidRPr="00C64A4A">
        <w:rPr>
          <w:rFonts w:eastAsia="Times New Roman" w:cs="Arial"/>
          <w:color w:val="000000" w:themeColor="text1"/>
        </w:rPr>
        <w:t>e</w:t>
      </w:r>
      <w:r w:rsidR="0011613D" w:rsidRPr="00C64A4A">
        <w:rPr>
          <w:rFonts w:eastAsia="Times New Roman" w:cs="Arial"/>
          <w:color w:val="000000" w:themeColor="text1"/>
        </w:rPr>
        <w:t xml:space="preserve"> access to</w:t>
      </w:r>
      <w:r w:rsidR="0042351A">
        <w:rPr>
          <w:rFonts w:eastAsia="Times New Roman" w:cs="Arial"/>
          <w:color w:val="000000" w:themeColor="text1"/>
        </w:rPr>
        <w:t xml:space="preserve"> services</w:t>
      </w:r>
      <w:r w:rsidR="0011613D" w:rsidRPr="00C64A4A">
        <w:rPr>
          <w:rFonts w:eastAsia="Times New Roman" w:cs="Arial"/>
          <w:color w:val="000000" w:themeColor="text1"/>
        </w:rPr>
        <w:t xml:space="preserve"> provided by health</w:t>
      </w:r>
      <w:r w:rsidR="0042351A">
        <w:rPr>
          <w:rFonts w:eastAsia="Times New Roman" w:cs="Arial"/>
          <w:color w:val="000000" w:themeColor="text1"/>
        </w:rPr>
        <w:t>care</w:t>
      </w:r>
      <w:r w:rsidR="0011613D" w:rsidRPr="00C64A4A">
        <w:rPr>
          <w:rFonts w:eastAsia="Times New Roman" w:cs="Arial"/>
          <w:color w:val="000000" w:themeColor="text1"/>
        </w:rPr>
        <w:t xml:space="preserve"> practitioners</w:t>
      </w:r>
      <w:r w:rsidR="00715D01">
        <w:rPr>
          <w:rFonts w:eastAsia="Times New Roman" w:cs="Arial"/>
          <w:color w:val="000000" w:themeColor="text1"/>
        </w:rPr>
        <w:t>;</w:t>
      </w:r>
      <w:r w:rsidR="0011613D" w:rsidRPr="00C64A4A">
        <w:rPr>
          <w:rFonts w:eastAsia="Times New Roman" w:cs="Arial"/>
          <w:color w:val="000000" w:themeColor="text1"/>
        </w:rPr>
        <w:t xml:space="preserve"> and</w:t>
      </w:r>
    </w:p>
    <w:p w:rsidR="0011613D" w:rsidRPr="00C64A4A" w:rsidRDefault="00C64A4A" w:rsidP="00C64A4A">
      <w:pPr>
        <w:numPr>
          <w:ilvl w:val="0"/>
          <w:numId w:val="29"/>
        </w:numPr>
        <w:shd w:val="clear" w:color="auto" w:fill="FFFFFF"/>
        <w:spacing w:before="0" w:after="0" w:line="270" w:lineRule="atLeast"/>
        <w:ind w:left="480"/>
        <w:rPr>
          <w:color w:val="000000" w:themeColor="text1"/>
        </w:rPr>
      </w:pPr>
      <w:r w:rsidRPr="00C64A4A">
        <w:rPr>
          <w:rFonts w:eastAsia="Times New Roman" w:cs="Arial"/>
          <w:color w:val="000000" w:themeColor="text1"/>
        </w:rPr>
        <w:t>E</w:t>
      </w:r>
      <w:r w:rsidR="0011613D" w:rsidRPr="00C64A4A">
        <w:rPr>
          <w:rFonts w:eastAsia="Times New Roman" w:cs="Arial"/>
          <w:color w:val="000000" w:themeColor="text1"/>
        </w:rPr>
        <w:t>nab</w:t>
      </w:r>
      <w:r w:rsidRPr="00C64A4A">
        <w:rPr>
          <w:rFonts w:eastAsia="Times New Roman" w:cs="Arial"/>
          <w:color w:val="000000" w:themeColor="text1"/>
        </w:rPr>
        <w:t>le</w:t>
      </w:r>
      <w:r w:rsidR="0011613D" w:rsidRPr="00C64A4A">
        <w:rPr>
          <w:rFonts w:eastAsia="Times New Roman" w:cs="Arial"/>
          <w:color w:val="000000" w:themeColor="text1"/>
        </w:rPr>
        <w:t xml:space="preserve"> the continuous development of a flexible Australian health</w:t>
      </w:r>
      <w:r w:rsidR="0042351A">
        <w:rPr>
          <w:rFonts w:eastAsia="Times New Roman" w:cs="Arial"/>
          <w:color w:val="000000" w:themeColor="text1"/>
        </w:rPr>
        <w:t>care</w:t>
      </w:r>
      <w:r w:rsidR="0011613D" w:rsidRPr="00C64A4A">
        <w:rPr>
          <w:rFonts w:eastAsia="Times New Roman" w:cs="Arial"/>
          <w:color w:val="000000" w:themeColor="text1"/>
        </w:rPr>
        <w:t xml:space="preserve"> workforce.</w:t>
      </w:r>
    </w:p>
    <w:p w:rsidR="00822658" w:rsidRDefault="00193FF2" w:rsidP="00ED146F">
      <w:r w:rsidRPr="00C64A4A">
        <w:rPr>
          <w:color w:val="000000" w:themeColor="text1"/>
        </w:rPr>
        <w:t>Currently, there are f</w:t>
      </w:r>
      <w:r w:rsidR="0088366B" w:rsidRPr="00C64A4A">
        <w:rPr>
          <w:color w:val="000000" w:themeColor="text1"/>
        </w:rPr>
        <w:t xml:space="preserve">ourteen classes of </w:t>
      </w:r>
      <w:r w:rsidR="0042351A">
        <w:rPr>
          <w:color w:val="000000" w:themeColor="text1"/>
        </w:rPr>
        <w:t>p</w:t>
      </w:r>
      <w:r w:rsidR="00424B3A" w:rsidRPr="00C64A4A">
        <w:rPr>
          <w:color w:val="000000" w:themeColor="text1"/>
        </w:rPr>
        <w:t>ractitioners</w:t>
      </w:r>
      <w:r w:rsidR="0088366B" w:rsidRPr="00C64A4A">
        <w:rPr>
          <w:color w:val="000000" w:themeColor="text1"/>
        </w:rPr>
        <w:t xml:space="preserve"> </w:t>
      </w:r>
      <w:r w:rsidRPr="00C64A4A">
        <w:rPr>
          <w:color w:val="000000" w:themeColor="text1"/>
        </w:rPr>
        <w:t xml:space="preserve">that </w:t>
      </w:r>
      <w:r w:rsidR="0088366B" w:rsidRPr="00C64A4A">
        <w:rPr>
          <w:color w:val="000000" w:themeColor="text1"/>
        </w:rPr>
        <w:t>are registered</w:t>
      </w:r>
      <w:r w:rsidR="0011613D" w:rsidRPr="00C64A4A">
        <w:rPr>
          <w:color w:val="000000" w:themeColor="text1"/>
        </w:rPr>
        <w:t xml:space="preserve">, </w:t>
      </w:r>
      <w:r w:rsidR="0088366B" w:rsidRPr="00C64A4A">
        <w:rPr>
          <w:color w:val="000000" w:themeColor="text1"/>
        </w:rPr>
        <w:t xml:space="preserve">including </w:t>
      </w:r>
      <w:r w:rsidRPr="00C64A4A">
        <w:rPr>
          <w:color w:val="000000" w:themeColor="text1"/>
        </w:rPr>
        <w:t>M</w:t>
      </w:r>
      <w:r w:rsidR="0088366B" w:rsidRPr="00C64A4A">
        <w:rPr>
          <w:color w:val="000000" w:themeColor="text1"/>
        </w:rPr>
        <w:t xml:space="preserve">edical </w:t>
      </w:r>
      <w:r w:rsidR="00424B3A">
        <w:t>Practitioners</w:t>
      </w:r>
      <w:r w:rsidR="0088366B" w:rsidRPr="003B3A5B">
        <w:t xml:space="preserve">, </w:t>
      </w:r>
      <w:r w:rsidR="0011613D">
        <w:t xml:space="preserve">Nurses, Midwifes, Pharmacists, </w:t>
      </w:r>
      <w:r>
        <w:t>D</w:t>
      </w:r>
      <w:r w:rsidR="0088366B" w:rsidRPr="003B3A5B">
        <w:t xml:space="preserve">entists, </w:t>
      </w:r>
      <w:r>
        <w:t>C</w:t>
      </w:r>
      <w:r w:rsidR="0088366B" w:rsidRPr="003B3A5B">
        <w:t>hiropractors</w:t>
      </w:r>
      <w:r w:rsidR="0011613D">
        <w:t xml:space="preserve">, Osteopaths, Psychologists, </w:t>
      </w:r>
      <w:r w:rsidR="00875A0A">
        <w:t>Optometrists</w:t>
      </w:r>
      <w:r w:rsidR="0011613D">
        <w:t xml:space="preserve">, Podiatrists, </w:t>
      </w:r>
      <w:r w:rsidR="00875A0A">
        <w:t xml:space="preserve">Physiotherapists </w:t>
      </w:r>
      <w:r w:rsidR="00875A0A" w:rsidRPr="003B3A5B">
        <w:t>and</w:t>
      </w:r>
      <w:r w:rsidR="0088366B" w:rsidRPr="003B3A5B">
        <w:t xml:space="preserve"> more recently</w:t>
      </w:r>
      <w:r w:rsidR="0088366B">
        <w:t>,</w:t>
      </w:r>
      <w:r w:rsidR="0088366B" w:rsidRPr="003B3A5B">
        <w:t xml:space="preserve"> </w:t>
      </w:r>
      <w:r w:rsidR="00424B3A">
        <w:t>Practitioners</w:t>
      </w:r>
      <w:r w:rsidR="0088366B" w:rsidRPr="003B3A5B">
        <w:t xml:space="preserve"> of </w:t>
      </w:r>
      <w:r w:rsidR="00B3446F">
        <w:t>TCM</w:t>
      </w:r>
      <w:r w:rsidR="0088366B" w:rsidRPr="003B3A5B">
        <w:t xml:space="preserve"> (</w:t>
      </w:r>
      <w:r w:rsidR="00537C23">
        <w:t>Traditional Chinese Medicine</w:t>
      </w:r>
      <w:r w:rsidR="0088366B" w:rsidRPr="003B3A5B">
        <w:t xml:space="preserve">). </w:t>
      </w:r>
      <w:r w:rsidR="0088366B" w:rsidRPr="0011613D">
        <w:t>Registratio</w:t>
      </w:r>
      <w:r w:rsidR="0011613D" w:rsidRPr="002B4E51">
        <w:t>n</w:t>
      </w:r>
      <w:r w:rsidR="00875A0A">
        <w:t xml:space="preserve"> </w:t>
      </w:r>
      <w:r w:rsidR="00D34F45">
        <w:t xml:space="preserve">also </w:t>
      </w:r>
      <w:r w:rsidR="0088366B" w:rsidRPr="003B3A5B">
        <w:t xml:space="preserve">provides for the establishment of minimum standards of education, </w:t>
      </w:r>
      <w:r w:rsidR="00875A0A">
        <w:t xml:space="preserve">a proper system for adequate </w:t>
      </w:r>
      <w:r w:rsidR="0088366B" w:rsidRPr="003B3A5B">
        <w:t>complaint and disciplinary procedures</w:t>
      </w:r>
      <w:r w:rsidR="009A27F9">
        <w:t>,</w:t>
      </w:r>
      <w:r w:rsidR="0088366B" w:rsidRPr="003B3A5B">
        <w:t xml:space="preserve"> and protection of title. </w:t>
      </w:r>
    </w:p>
    <w:p w:rsidR="00822658" w:rsidRDefault="0088366B" w:rsidP="00ED146F">
      <w:r w:rsidRPr="003B3A5B">
        <w:t xml:space="preserve">A number of classes of </w:t>
      </w:r>
      <w:r w:rsidR="0042351A">
        <w:t>h</w:t>
      </w:r>
      <w:r w:rsidR="00296B46">
        <w:t xml:space="preserve">ealthcare </w:t>
      </w:r>
      <w:r w:rsidR="00715D01">
        <w:t>p</w:t>
      </w:r>
      <w:r w:rsidR="00B20E8D">
        <w:t>r</w:t>
      </w:r>
      <w:r w:rsidR="0042351A">
        <w:t>actitioners</w:t>
      </w:r>
      <w:r w:rsidR="00B20E8D">
        <w:t xml:space="preserve"> </w:t>
      </w:r>
      <w:r w:rsidR="00B20E8D" w:rsidRPr="003B3A5B">
        <w:t>are</w:t>
      </w:r>
      <w:r w:rsidRPr="003B3A5B">
        <w:t xml:space="preserve"> not currently regulated</w:t>
      </w:r>
      <w:r w:rsidR="00715D01">
        <w:t xml:space="preserve"> by AHPRA, including Naturopaths</w:t>
      </w:r>
      <w:r w:rsidRPr="003B3A5B">
        <w:t xml:space="preserve"> and </w:t>
      </w:r>
      <w:r w:rsidR="009D57A9">
        <w:t>Western Herbal Medicine</w:t>
      </w:r>
      <w:r w:rsidR="00715D01">
        <w:t xml:space="preserve"> Practitioners (WHMPs), </w:t>
      </w:r>
      <w:r w:rsidRPr="003B3A5B">
        <w:t xml:space="preserve">which represent a large number of </w:t>
      </w:r>
      <w:r w:rsidR="0042351A">
        <w:t>p</w:t>
      </w:r>
      <w:r w:rsidR="00424B3A">
        <w:t>ractitioners</w:t>
      </w:r>
      <w:r w:rsidRPr="003B3A5B">
        <w:t xml:space="preserve"> working in the Australian community. It was estimated by the Australian Bureau of Statistics that in </w:t>
      </w:r>
      <w:r w:rsidRPr="00CC371B">
        <w:t>2006</w:t>
      </w:r>
      <w:r w:rsidR="009C0B03">
        <w:t xml:space="preserve"> </w:t>
      </w:r>
      <w:r w:rsidR="00221E56" w:rsidRPr="00CC371B">
        <w:t>there</w:t>
      </w:r>
      <w:r w:rsidRPr="00CC371B">
        <w:t xml:space="preserve"> were 2982</w:t>
      </w:r>
      <w:r w:rsidRPr="003B3A5B">
        <w:t xml:space="preserve"> </w:t>
      </w:r>
      <w:r w:rsidR="00AF235F">
        <w:t>Naturopaths</w:t>
      </w:r>
      <w:r w:rsidRPr="003B3A5B">
        <w:t xml:space="preserve"> in Australia, which represented </w:t>
      </w:r>
      <w:r>
        <w:t xml:space="preserve">a </w:t>
      </w:r>
      <w:r w:rsidRPr="003B3A5B">
        <w:t xml:space="preserve">greater than 50% increase over the preceding 10 years. This is </w:t>
      </w:r>
      <w:r>
        <w:t>noteworthy</w:t>
      </w:r>
      <w:r w:rsidR="002B3306">
        <w:t>,</w:t>
      </w:r>
      <w:r w:rsidRPr="003B3A5B">
        <w:t xml:space="preserve"> as this number is significantly larger than practicing Chiropractors (2488), Osteopaths (776) and </w:t>
      </w:r>
      <w:r w:rsidR="00FA1D77">
        <w:t>TCM</w:t>
      </w:r>
      <w:r w:rsidRPr="003B3A5B">
        <w:t xml:space="preserve"> </w:t>
      </w:r>
      <w:r w:rsidR="00424B3A">
        <w:t>Practitioners</w:t>
      </w:r>
      <w:r w:rsidRPr="003B3A5B">
        <w:t xml:space="preserve"> (480) </w:t>
      </w:r>
      <w:r w:rsidR="009A27F9">
        <w:t xml:space="preserve">respectively, </w:t>
      </w:r>
      <w:r w:rsidRPr="003B3A5B">
        <w:t>for the same period</w:t>
      </w:r>
      <w:r w:rsidR="00715D01">
        <w:t xml:space="preserve"> </w:t>
      </w:r>
      <w:r w:rsidR="009A27F9">
        <w:t>-</w:t>
      </w:r>
      <w:r w:rsidR="00715D01">
        <w:t>all of which</w:t>
      </w:r>
      <w:r w:rsidRPr="003B3A5B">
        <w:t xml:space="preserve"> are registered professions with AHPRA.</w:t>
      </w:r>
      <w:r>
        <w:rPr>
          <w:rStyle w:val="FootnoteReference"/>
        </w:rPr>
        <w:footnoteReference w:id="5"/>
      </w:r>
      <w:r w:rsidRPr="003B3A5B">
        <w:t xml:space="preserve"> </w:t>
      </w:r>
    </w:p>
    <w:p w:rsidR="00715D01" w:rsidRDefault="00715D01" w:rsidP="00ED146F">
      <w:r>
        <w:t>Naturopaths</w:t>
      </w:r>
      <w:r w:rsidR="0088366B" w:rsidRPr="003B3A5B">
        <w:t xml:space="preserve"> and </w:t>
      </w:r>
      <w:r w:rsidR="009D57A9">
        <w:t>Western Herbal Medicine</w:t>
      </w:r>
      <w:r w:rsidR="0088366B" w:rsidRPr="003B3A5B">
        <w:t xml:space="preserve"> </w:t>
      </w:r>
      <w:r w:rsidR="00424B3A">
        <w:t>Practitioners</w:t>
      </w:r>
      <w:r w:rsidR="0088366B" w:rsidRPr="003B3A5B">
        <w:t xml:space="preserve"> are currently ‘self-regulated’ by virtue of membership to one of the large number of professional bodies that have been established to represent these professions. Critics argue that these bodies have conflicting and contradictory rules and standards, and varying levels of education required for acceptance.</w:t>
      </w:r>
    </w:p>
    <w:p w:rsidR="005920BE" w:rsidRDefault="0088366B" w:rsidP="00ED146F">
      <w:pPr>
        <w:rPr>
          <w:color w:val="000000" w:themeColor="text1"/>
        </w:rPr>
      </w:pPr>
      <w:r w:rsidRPr="003B3A5B">
        <w:t xml:space="preserve"> This paper is written with the intent of </w:t>
      </w:r>
      <w:r w:rsidR="007C643D">
        <w:t>elucidating and</w:t>
      </w:r>
      <w:r w:rsidR="002E05DF">
        <w:t xml:space="preserve"> bringing forward </w:t>
      </w:r>
      <w:r w:rsidR="0061153F">
        <w:t>the</w:t>
      </w:r>
      <w:r w:rsidR="002E05DF">
        <w:t xml:space="preserve"> </w:t>
      </w:r>
      <w:r w:rsidR="00875A0A">
        <w:t>urgent issue</w:t>
      </w:r>
      <w:r w:rsidR="0061153F">
        <w:t xml:space="preserve"> </w:t>
      </w:r>
      <w:r w:rsidR="00DC7CA0">
        <w:t xml:space="preserve">of </w:t>
      </w:r>
      <w:r w:rsidR="00A86479">
        <w:t>statutory registration</w:t>
      </w:r>
      <w:r w:rsidR="009B47FB">
        <w:t>,</w:t>
      </w:r>
      <w:r w:rsidR="00A86479">
        <w:t xml:space="preserve"> </w:t>
      </w:r>
      <w:r w:rsidR="00DC7CA0">
        <w:t>and</w:t>
      </w:r>
      <w:r w:rsidR="0061153F">
        <w:t xml:space="preserve"> </w:t>
      </w:r>
      <w:r w:rsidRPr="003B3A5B">
        <w:t xml:space="preserve">stimulating discussion around the </w:t>
      </w:r>
      <w:r w:rsidR="00A86479">
        <w:t xml:space="preserve">need for and </w:t>
      </w:r>
      <w:r w:rsidRPr="003B3A5B">
        <w:t>benefits</w:t>
      </w:r>
      <w:r w:rsidR="0061153F" w:rsidRPr="0061153F">
        <w:t xml:space="preserve"> </w:t>
      </w:r>
      <w:r w:rsidR="0061153F" w:rsidRPr="003B3A5B">
        <w:t>o</w:t>
      </w:r>
      <w:r w:rsidR="00715D01">
        <w:t>f</w:t>
      </w:r>
      <w:r w:rsidR="0061153F" w:rsidRPr="003B3A5B">
        <w:t xml:space="preserve"> statutory registration</w:t>
      </w:r>
      <w:r w:rsidRPr="003B3A5B">
        <w:t xml:space="preserve"> to the </w:t>
      </w:r>
      <w:r w:rsidR="0061153F">
        <w:t>Australian public,</w:t>
      </w:r>
      <w:r w:rsidR="00715D01">
        <w:t xml:space="preserve"> </w:t>
      </w:r>
      <w:r w:rsidR="00715D01" w:rsidRPr="00E15083">
        <w:t>to</w:t>
      </w:r>
      <w:r w:rsidR="0061153F" w:rsidRPr="00E15083">
        <w:t xml:space="preserve"> </w:t>
      </w:r>
      <w:r w:rsidR="0061153F" w:rsidRPr="00E15083">
        <w:rPr>
          <w:color w:val="000000" w:themeColor="text1"/>
        </w:rPr>
        <w:t>Naturopaths and Wester</w:t>
      </w:r>
      <w:r w:rsidR="00715D01" w:rsidRPr="00E15083">
        <w:rPr>
          <w:color w:val="000000" w:themeColor="text1"/>
        </w:rPr>
        <w:t>n Herbal Medicine P</w:t>
      </w:r>
      <w:r w:rsidR="002E05DF" w:rsidRPr="00E15083">
        <w:rPr>
          <w:color w:val="000000" w:themeColor="text1"/>
        </w:rPr>
        <w:t xml:space="preserve">ractitioners, </w:t>
      </w:r>
      <w:r w:rsidR="0061153F" w:rsidRPr="00E15083">
        <w:rPr>
          <w:color w:val="000000" w:themeColor="text1"/>
        </w:rPr>
        <w:t>and</w:t>
      </w:r>
      <w:r w:rsidR="00715D01" w:rsidRPr="00E15083">
        <w:rPr>
          <w:color w:val="000000" w:themeColor="text1"/>
        </w:rPr>
        <w:t xml:space="preserve"> to</w:t>
      </w:r>
      <w:r w:rsidR="0061153F" w:rsidRPr="00E15083">
        <w:rPr>
          <w:color w:val="000000" w:themeColor="text1"/>
        </w:rPr>
        <w:t xml:space="preserve"> </w:t>
      </w:r>
      <w:r w:rsidR="002E05DF" w:rsidRPr="00E15083">
        <w:rPr>
          <w:color w:val="000000" w:themeColor="text1"/>
        </w:rPr>
        <w:t xml:space="preserve">the </w:t>
      </w:r>
      <w:r w:rsidRPr="00E15083">
        <w:rPr>
          <w:color w:val="000000" w:themeColor="text1"/>
        </w:rPr>
        <w:t>complementary medicine industry as a whole</w:t>
      </w:r>
      <w:r w:rsidR="007D0B48" w:rsidRPr="00E15083">
        <w:rPr>
          <w:color w:val="000000" w:themeColor="text1"/>
        </w:rPr>
        <w:t>.</w:t>
      </w:r>
      <w:r w:rsidR="0061153F" w:rsidRPr="007D0B48">
        <w:rPr>
          <w:color w:val="000000" w:themeColor="text1"/>
        </w:rPr>
        <w:t xml:space="preserve"> </w:t>
      </w:r>
      <w:r w:rsidRPr="007D0B48">
        <w:rPr>
          <w:color w:val="000000" w:themeColor="text1"/>
        </w:rPr>
        <w:t xml:space="preserve"> </w:t>
      </w:r>
    </w:p>
    <w:p w:rsidR="000E04AA" w:rsidRDefault="000E04AA" w:rsidP="000E04AA">
      <w:pPr>
        <w:pStyle w:val="Heading1"/>
      </w:pPr>
      <w:bookmarkStart w:id="6" w:name="_Toc360099491"/>
      <w:r w:rsidRPr="00B875B7">
        <w:lastRenderedPageBreak/>
        <w:t xml:space="preserve">Why the CHC is Supportive of Statutory Registration of </w:t>
      </w:r>
      <w:r>
        <w:t>Naturopaths</w:t>
      </w:r>
      <w:r w:rsidRPr="00B875B7">
        <w:t xml:space="preserve"> and </w:t>
      </w:r>
      <w:r>
        <w:t>Western Herbal Medicine</w:t>
      </w:r>
      <w:r w:rsidRPr="00B875B7">
        <w:t xml:space="preserve"> Practitioners.</w:t>
      </w:r>
      <w:bookmarkEnd w:id="6"/>
      <w:r w:rsidRPr="00B875B7">
        <w:t xml:space="preserve"> </w:t>
      </w:r>
    </w:p>
    <w:p w:rsidR="000E04AA" w:rsidRPr="0042430D" w:rsidRDefault="000E04AA" w:rsidP="000E04AA">
      <w:pPr>
        <w:autoSpaceDE w:val="0"/>
        <w:autoSpaceDN w:val="0"/>
        <w:adjustRightInd w:val="0"/>
        <w:spacing w:before="0" w:after="0"/>
        <w:rPr>
          <w:rFonts w:cs="Times New Roman"/>
        </w:rPr>
      </w:pPr>
      <w:r w:rsidRPr="00B74B3E">
        <w:t xml:space="preserve">In Australia, the demand for </w:t>
      </w:r>
      <w:r>
        <w:t>complementary and alternative medicines</w:t>
      </w:r>
      <w:r>
        <w:rPr>
          <w:rStyle w:val="FootnoteReference"/>
        </w:rPr>
        <w:footnoteReference w:id="6"/>
      </w:r>
      <w:r>
        <w:t xml:space="preserve">  </w:t>
      </w:r>
      <w:r w:rsidRPr="00B74B3E">
        <w:t xml:space="preserve">is increasing, with 1 in 6 Australians </w:t>
      </w:r>
      <w:r>
        <w:t>consulting with</w:t>
      </w:r>
      <w:r w:rsidRPr="00B74B3E">
        <w:t xml:space="preserve"> </w:t>
      </w:r>
      <w:r>
        <w:t>Naturopaths</w:t>
      </w:r>
      <w:r w:rsidRPr="00B74B3E">
        <w:t xml:space="preserve"> and </w:t>
      </w:r>
      <w:r>
        <w:t>Western Herbal Medicine</w:t>
      </w:r>
      <w:r w:rsidRPr="00B74B3E">
        <w:t xml:space="preserve"> Practitioners</w:t>
      </w:r>
      <w:r>
        <w:t xml:space="preserve">. </w:t>
      </w:r>
      <w:r w:rsidRPr="00B74B3E">
        <w:t xml:space="preserve"> </w:t>
      </w:r>
      <w:r>
        <w:t>They are a significant component of Australian primary h</w:t>
      </w:r>
      <w:r w:rsidRPr="00B74B3E">
        <w:t>ealthcare professions</w:t>
      </w:r>
      <w:r>
        <w:t xml:space="preserve">, </w:t>
      </w:r>
      <w:r w:rsidRPr="00ED146F">
        <w:t>accounting</w:t>
      </w:r>
      <w:r w:rsidRPr="00B74B3E">
        <w:t xml:space="preserve"> for up 8.7 million health consultations per year.</w:t>
      </w:r>
      <w:r>
        <w:rPr>
          <w:rStyle w:val="FootnoteReference"/>
        </w:rPr>
        <w:footnoteReference w:id="7"/>
      </w:r>
      <w:r>
        <w:t xml:space="preserve"> </w:t>
      </w:r>
      <w:r>
        <w:rPr>
          <w:rFonts w:cs="Times New Roman"/>
        </w:rPr>
        <w:t xml:space="preserve">This is also </w:t>
      </w:r>
      <w:r w:rsidRPr="0042430D">
        <w:rPr>
          <w:rFonts w:cs="Times New Roman"/>
        </w:rPr>
        <w:t>reflected</w:t>
      </w:r>
      <w:r>
        <w:rPr>
          <w:rFonts w:cs="Times New Roman"/>
        </w:rPr>
        <w:t xml:space="preserve"> in the wide recognition </w:t>
      </w:r>
      <w:r w:rsidRPr="0042430D">
        <w:rPr>
          <w:rFonts w:cs="Times New Roman"/>
        </w:rPr>
        <w:t>by private health fund</w:t>
      </w:r>
      <w:r>
        <w:rPr>
          <w:rFonts w:cs="Times New Roman"/>
        </w:rPr>
        <w:t xml:space="preserve">s, with </w:t>
      </w:r>
      <w:r w:rsidRPr="0042430D">
        <w:rPr>
          <w:rFonts w:cs="Times New Roman"/>
        </w:rPr>
        <w:t xml:space="preserve">the majority offering rebates for </w:t>
      </w:r>
      <w:r>
        <w:rPr>
          <w:rFonts w:cs="Times New Roman"/>
        </w:rPr>
        <w:t xml:space="preserve">Naturopathic and Western Herbal Medicine Practitioner </w:t>
      </w:r>
      <w:r w:rsidRPr="0042430D">
        <w:rPr>
          <w:rFonts w:cs="Times New Roman"/>
        </w:rPr>
        <w:t>consultations</w:t>
      </w:r>
      <w:r>
        <w:rPr>
          <w:rFonts w:cs="Times New Roman"/>
        </w:rPr>
        <w:t>.</w:t>
      </w:r>
      <w:r>
        <w:rPr>
          <w:rStyle w:val="EndnoteReference"/>
        </w:rPr>
        <w:endnoteReference w:id="1"/>
      </w:r>
    </w:p>
    <w:p w:rsidR="000E04AA" w:rsidRDefault="000E04AA" w:rsidP="000E04AA">
      <w:r>
        <w:t>It is</w:t>
      </w:r>
      <w:r w:rsidRPr="003B3A5B">
        <w:t xml:space="preserve"> acknowledge</w:t>
      </w:r>
      <w:r>
        <w:t>d</w:t>
      </w:r>
      <w:r w:rsidRPr="003B3A5B">
        <w:t xml:space="preserve"> that </w:t>
      </w:r>
      <w:r>
        <w:t>Naturopaths</w:t>
      </w:r>
      <w:r w:rsidRPr="003B3A5B">
        <w:t xml:space="preserve"> and </w:t>
      </w:r>
      <w:r>
        <w:t>Western Herbal Medicine</w:t>
      </w:r>
      <w:r w:rsidRPr="003B3A5B">
        <w:t xml:space="preserve"> </w:t>
      </w:r>
      <w:r>
        <w:t>Practitioners</w:t>
      </w:r>
      <w:r w:rsidRPr="003B3A5B">
        <w:t xml:space="preserve"> have successfully practiced in our community for many generations without statutory registration</w:t>
      </w:r>
      <w:r>
        <w:t>.</w:t>
      </w:r>
      <w:r w:rsidRPr="003B3A5B">
        <w:t xml:space="preserve"> </w:t>
      </w:r>
      <w:r w:rsidRPr="00F702C0">
        <w:t>However, recently, there have been signs of negative impacts upon the ability for these professionals to effectively continue their contribution to primary healthcare</w:t>
      </w:r>
      <w:r>
        <w:t xml:space="preserve">. A notable example of this being </w:t>
      </w:r>
      <w:r w:rsidRPr="003B3A5B">
        <w:t xml:space="preserve">the </w:t>
      </w:r>
      <w:r>
        <w:t xml:space="preserve">blanket approach taken </w:t>
      </w:r>
      <w:r w:rsidRPr="003B3A5B">
        <w:t xml:space="preserve">by the so called 'Friends of Science in Medicine' group, who called for the removal of teaching </w:t>
      </w:r>
      <w:r>
        <w:t xml:space="preserve">of </w:t>
      </w:r>
      <w:r w:rsidRPr="00000BBB">
        <w:t xml:space="preserve">all </w:t>
      </w:r>
      <w:r w:rsidRPr="003B3A5B">
        <w:t>compl</w:t>
      </w:r>
      <w:r>
        <w:t>ementary medicine courses from U</w:t>
      </w:r>
      <w:r w:rsidRPr="003B3A5B">
        <w:t xml:space="preserve">niversities around the country. Clearly this has the potential to threaten both the quality of the education that is available to future </w:t>
      </w:r>
      <w:r>
        <w:t>practitioners</w:t>
      </w:r>
      <w:r w:rsidRPr="003B3A5B">
        <w:t xml:space="preserve"> and the professional standing of these </w:t>
      </w:r>
      <w:r>
        <w:t>practitioners</w:t>
      </w:r>
      <w:r w:rsidRPr="003B3A5B">
        <w:t xml:space="preserve"> in the community. </w:t>
      </w:r>
    </w:p>
    <w:p w:rsidR="000E04AA" w:rsidRPr="007649C0" w:rsidRDefault="000E04AA" w:rsidP="000E04AA">
      <w:pPr>
        <w:rPr>
          <w:color w:val="FF0000"/>
        </w:rPr>
      </w:pPr>
      <w:r w:rsidRPr="003B3A5B">
        <w:t>Of perhaps greater concern</w:t>
      </w:r>
      <w:r>
        <w:t xml:space="preserve"> is</w:t>
      </w:r>
      <w:r w:rsidRPr="003B3A5B">
        <w:t xml:space="preserve"> a number of regulatory changes that have been proposed or introduced by T</w:t>
      </w:r>
      <w:r>
        <w:t xml:space="preserve">herapeutic </w:t>
      </w:r>
      <w:r w:rsidRPr="003B3A5B">
        <w:t>G</w:t>
      </w:r>
      <w:r>
        <w:t xml:space="preserve">oods Administration (TGA) </w:t>
      </w:r>
      <w:r w:rsidRPr="003B3A5B">
        <w:t>and the Federal Government</w:t>
      </w:r>
      <w:r>
        <w:t>. These changes</w:t>
      </w:r>
      <w:r w:rsidRPr="003B3A5B">
        <w:t xml:space="preserve"> have the potential (</w:t>
      </w:r>
      <w:r>
        <w:t>unintended</w:t>
      </w:r>
      <w:r w:rsidRPr="003B3A5B">
        <w:t xml:space="preserve"> or not) to severely limit the scope</w:t>
      </w:r>
      <w:r>
        <w:t xml:space="preserve"> </w:t>
      </w:r>
      <w:r w:rsidRPr="003B3A5B">
        <w:t>and the viability of</w:t>
      </w:r>
      <w:r>
        <w:t xml:space="preserve"> practice for these professions,</w:t>
      </w:r>
      <w:r w:rsidRPr="003B3A5B">
        <w:t xml:space="preserve"> </w:t>
      </w:r>
      <w:r w:rsidR="009A27F9">
        <w:t>which will be further</w:t>
      </w:r>
      <w:r w:rsidRPr="003B3A5B">
        <w:t xml:space="preserve"> detailed below. These changes are an issue</w:t>
      </w:r>
      <w:r>
        <w:t>,</w:t>
      </w:r>
      <w:r w:rsidRPr="003B3A5B">
        <w:t xml:space="preserve"> not just for the </w:t>
      </w:r>
      <w:r>
        <w:t>practitioners</w:t>
      </w:r>
      <w:r w:rsidRPr="003B3A5B">
        <w:t xml:space="preserve"> concerned, but </w:t>
      </w:r>
      <w:r>
        <w:t xml:space="preserve">also </w:t>
      </w:r>
      <w:r w:rsidRPr="003B3A5B">
        <w:t>for the consumers and patients</w:t>
      </w:r>
      <w:r w:rsidR="009A27F9">
        <w:t xml:space="preserve"> of whom</w:t>
      </w:r>
      <w:r w:rsidRPr="003B3A5B">
        <w:t xml:space="preserve"> they serve, who will</w:t>
      </w:r>
      <w:r>
        <w:t xml:space="preserve"> ultimately</w:t>
      </w:r>
      <w:r w:rsidRPr="003B3A5B">
        <w:t xml:space="preserve"> have reduced freedom </w:t>
      </w:r>
      <w:r>
        <w:t xml:space="preserve">to choose how they care for their health. </w:t>
      </w:r>
    </w:p>
    <w:p w:rsidR="000E04AA" w:rsidRPr="000E04AA" w:rsidRDefault="000E04AA" w:rsidP="000E04AA">
      <w:pPr>
        <w:pStyle w:val="WendyList"/>
        <w:numPr>
          <w:ilvl w:val="0"/>
          <w:numId w:val="0"/>
        </w:numPr>
        <w:rPr>
          <w:b/>
          <w:color w:val="auto"/>
        </w:rPr>
      </w:pPr>
      <w:r w:rsidRPr="000E04AA">
        <w:rPr>
          <w:b/>
          <w:color w:val="auto"/>
        </w:rPr>
        <w:t>The main tools that Naturopaths and Western Herbal Medicine Practitioners work with are:</w:t>
      </w:r>
    </w:p>
    <w:p w:rsidR="000E04AA" w:rsidRPr="009F0720" w:rsidRDefault="000E04AA" w:rsidP="000E04AA">
      <w:pPr>
        <w:pStyle w:val="ListParagraph"/>
        <w:numPr>
          <w:ilvl w:val="0"/>
          <w:numId w:val="31"/>
        </w:numPr>
        <w:ind w:right="1132"/>
      </w:pPr>
      <w:r w:rsidRPr="009F0720">
        <w:t xml:space="preserve">Complementary medicines and natural healthcare products; </w:t>
      </w:r>
    </w:p>
    <w:p w:rsidR="000E04AA" w:rsidRDefault="000E04AA" w:rsidP="000E04AA">
      <w:pPr>
        <w:pStyle w:val="ListParagraph"/>
        <w:numPr>
          <w:ilvl w:val="0"/>
          <w:numId w:val="31"/>
        </w:numPr>
        <w:ind w:right="1132"/>
      </w:pPr>
      <w:r w:rsidRPr="009F0720">
        <w:t xml:space="preserve">Many Naturopaths and WHMPs also employ the use of in vitro diagnostic tools: such as in-clinic screening devices and tests to assist in elucidating key information and confirm clinical findings, for example urinary, blood and </w:t>
      </w:r>
      <w:proofErr w:type="spellStart"/>
      <w:r w:rsidRPr="009F0720">
        <w:t>bioimpedence</w:t>
      </w:r>
      <w:proofErr w:type="spellEnd"/>
      <w:r w:rsidRPr="009F0720">
        <w:t xml:space="preserve"> analysis.  </w:t>
      </w:r>
    </w:p>
    <w:p w:rsidR="009A27F9" w:rsidRDefault="000E04AA" w:rsidP="000E04AA">
      <w:pPr>
        <w:rPr>
          <w:rFonts w:cs="Arial"/>
          <w:b/>
        </w:rPr>
      </w:pPr>
      <w:r w:rsidRPr="00F702C0">
        <w:rPr>
          <w:b/>
        </w:rPr>
        <w:t xml:space="preserve">Access to important tools of the trade is vital as they can differentiate the role, quality and efficacy of the health care received by patients and consumers. For example, in-clinic screening and testing devices (IVDTs) </w:t>
      </w:r>
      <w:r>
        <w:rPr>
          <w:b/>
        </w:rPr>
        <w:t xml:space="preserve">such as </w:t>
      </w:r>
      <w:proofErr w:type="spellStart"/>
      <w:r w:rsidRPr="00F702C0">
        <w:rPr>
          <w:b/>
        </w:rPr>
        <w:t>Bioimpedance</w:t>
      </w:r>
      <w:proofErr w:type="spellEnd"/>
      <w:r w:rsidRPr="00F702C0">
        <w:rPr>
          <w:b/>
        </w:rPr>
        <w:t xml:space="preserve"> and Live Blood analysis, Vega machine, Cyber </w:t>
      </w:r>
      <w:proofErr w:type="spellStart"/>
      <w:r w:rsidRPr="00F702C0">
        <w:rPr>
          <w:b/>
        </w:rPr>
        <w:t>Trone</w:t>
      </w:r>
      <w:proofErr w:type="spellEnd"/>
      <w:r w:rsidRPr="00F702C0">
        <w:rPr>
          <w:b/>
        </w:rPr>
        <w:t>/Cyber Scan</w:t>
      </w:r>
      <w:r w:rsidRPr="00F702C0">
        <w:rPr>
          <w:rFonts w:cs="Arial"/>
          <w:b/>
        </w:rPr>
        <w:t xml:space="preserve">, </w:t>
      </w:r>
      <w:r w:rsidR="009A27F9">
        <w:rPr>
          <w:rFonts w:cs="Arial"/>
          <w:b/>
        </w:rPr>
        <w:t xml:space="preserve"> </w:t>
      </w:r>
      <w:proofErr w:type="spellStart"/>
      <w:r w:rsidRPr="00F702C0">
        <w:rPr>
          <w:rFonts w:cs="Arial"/>
          <w:b/>
        </w:rPr>
        <w:t>Indican</w:t>
      </w:r>
      <w:proofErr w:type="spellEnd"/>
      <w:r w:rsidRPr="00F702C0">
        <w:rPr>
          <w:rFonts w:cs="Arial"/>
          <w:b/>
        </w:rPr>
        <w:t>, pH, Ketone and</w:t>
      </w:r>
      <w:r>
        <w:rPr>
          <w:rFonts w:cs="Arial"/>
          <w:b/>
        </w:rPr>
        <w:t xml:space="preserve"> ORAC testing. </w:t>
      </w:r>
    </w:p>
    <w:p w:rsidR="000E04AA" w:rsidRDefault="000E04AA" w:rsidP="000E04AA">
      <w:pPr>
        <w:rPr>
          <w:b/>
        </w:rPr>
      </w:pPr>
      <w:r>
        <w:rPr>
          <w:rFonts w:cs="Arial"/>
          <w:b/>
        </w:rPr>
        <w:t>The reforms currently in motion will reduce acc</w:t>
      </w:r>
      <w:r w:rsidR="009A27F9">
        <w:rPr>
          <w:rFonts w:cs="Arial"/>
          <w:b/>
        </w:rPr>
        <w:t>ess to and use of these devices</w:t>
      </w:r>
      <w:r>
        <w:rPr>
          <w:b/>
        </w:rPr>
        <w:t xml:space="preserve"> </w:t>
      </w:r>
      <w:r w:rsidR="009C0B03">
        <w:rPr>
          <w:b/>
        </w:rPr>
        <w:t>by</w:t>
      </w:r>
      <w:r w:rsidRPr="00F702C0">
        <w:rPr>
          <w:b/>
        </w:rPr>
        <w:t xml:space="preserve"> </w:t>
      </w:r>
      <w:r>
        <w:rPr>
          <w:b/>
        </w:rPr>
        <w:t xml:space="preserve">all </w:t>
      </w:r>
      <w:r w:rsidRPr="00F702C0">
        <w:rPr>
          <w:b/>
        </w:rPr>
        <w:t>non-registered practitioners</w:t>
      </w:r>
      <w:r>
        <w:rPr>
          <w:b/>
        </w:rPr>
        <w:t xml:space="preserve">, </w:t>
      </w:r>
      <w:r w:rsidRPr="00F702C0">
        <w:rPr>
          <w:b/>
        </w:rPr>
        <w:t>effective from July 2014.</w:t>
      </w:r>
      <w:r>
        <w:rPr>
          <w:b/>
        </w:rPr>
        <w:t xml:space="preserve"> This</w:t>
      </w:r>
      <w:r w:rsidR="009C0B03">
        <w:rPr>
          <w:b/>
        </w:rPr>
        <w:t>,</w:t>
      </w:r>
      <w:r>
        <w:rPr>
          <w:b/>
        </w:rPr>
        <w:t xml:space="preserve"> of course, will directly </w:t>
      </w:r>
      <w:r w:rsidR="009C0B03">
        <w:rPr>
          <w:b/>
        </w:rPr>
        <w:t xml:space="preserve">affect </w:t>
      </w:r>
      <w:r w:rsidRPr="00F702C0">
        <w:rPr>
          <w:b/>
        </w:rPr>
        <w:t>Naturopaths and Western</w:t>
      </w:r>
      <w:r>
        <w:rPr>
          <w:b/>
        </w:rPr>
        <w:t xml:space="preserve"> Herbal Medicine Practitioners who utilise IVDTs as a part </w:t>
      </w:r>
      <w:r w:rsidR="009A27F9">
        <w:rPr>
          <w:b/>
        </w:rPr>
        <w:t>of their</w:t>
      </w:r>
      <w:r>
        <w:rPr>
          <w:b/>
        </w:rPr>
        <w:t xml:space="preserve"> clinical care and practice.</w:t>
      </w:r>
    </w:p>
    <w:p w:rsidR="000E04AA" w:rsidRPr="00B513FF" w:rsidRDefault="000E04AA" w:rsidP="000E04AA">
      <w:pPr>
        <w:pStyle w:val="Heading1"/>
      </w:pPr>
      <w:bookmarkStart w:id="7" w:name="_Toc360099492"/>
      <w:r w:rsidRPr="00B513FF">
        <w:lastRenderedPageBreak/>
        <w:t>Proposed Regulatory Changes with the Potential to Disadvantage Complementary Medicine Practitioners</w:t>
      </w:r>
      <w:bookmarkEnd w:id="7"/>
      <w:r w:rsidRPr="00B513FF">
        <w:t xml:space="preserve"> </w:t>
      </w:r>
    </w:p>
    <w:p w:rsidR="000E04AA" w:rsidRPr="00E8207A" w:rsidRDefault="000E04AA" w:rsidP="000E04AA">
      <w:r w:rsidRPr="00DF2B2B">
        <w:t>It is the position of the CHC that the recent changes in the regulatory and political environment necessitate an urgent re-examination of the position on statutory registration by both the professional bodies and the members of these professions.</w:t>
      </w:r>
      <w:r>
        <w:t xml:space="preserve"> </w:t>
      </w:r>
      <w:r w:rsidRPr="00E8207A">
        <w:t>These changes include:</w:t>
      </w:r>
    </w:p>
    <w:p w:rsidR="000E04AA" w:rsidRPr="00C7125A" w:rsidRDefault="000E04AA" w:rsidP="000E04AA">
      <w:pPr>
        <w:pStyle w:val="Heading2"/>
        <w:rPr>
          <w:sz w:val="22"/>
          <w:u w:val="none"/>
        </w:rPr>
      </w:pPr>
      <w:bookmarkStart w:id="8" w:name="_Toc360099493"/>
      <w:r w:rsidRPr="00C7125A">
        <w:rPr>
          <w:sz w:val="22"/>
          <w:u w:val="none"/>
        </w:rPr>
        <w:t xml:space="preserve">The review of eligibility for health fund rebates for complementary medicine </w:t>
      </w:r>
      <w:r>
        <w:rPr>
          <w:sz w:val="22"/>
          <w:u w:val="none"/>
        </w:rPr>
        <w:t>p</w:t>
      </w:r>
      <w:r w:rsidRPr="00C7125A">
        <w:rPr>
          <w:sz w:val="22"/>
          <w:u w:val="none"/>
        </w:rPr>
        <w:t>ractitioners</w:t>
      </w:r>
      <w:bookmarkEnd w:id="8"/>
      <w:r w:rsidRPr="00C7125A">
        <w:rPr>
          <w:sz w:val="22"/>
          <w:u w:val="none"/>
        </w:rPr>
        <w:t xml:space="preserve"> </w:t>
      </w:r>
    </w:p>
    <w:p w:rsidR="002E623A" w:rsidRDefault="000E04AA" w:rsidP="002E623A">
      <w:pPr>
        <w:pStyle w:val="ListParagraph"/>
        <w:numPr>
          <w:ilvl w:val="0"/>
          <w:numId w:val="33"/>
        </w:numPr>
      </w:pPr>
      <w:r w:rsidRPr="00DF2B2B">
        <w:t xml:space="preserve">It was announced in the 2012 federal budget that a review would take place to consider the practice of health funds providing rebates on services provided by </w:t>
      </w:r>
      <w:r>
        <w:t xml:space="preserve">the various </w:t>
      </w:r>
      <w:r w:rsidRPr="00DF2B2B">
        <w:t xml:space="preserve">complementary medicine </w:t>
      </w:r>
      <w:r>
        <w:t>practitioners.</w:t>
      </w:r>
      <w:r w:rsidRPr="00DF2B2B">
        <w:t xml:space="preserve"> </w:t>
      </w:r>
    </w:p>
    <w:p w:rsidR="002E623A" w:rsidRDefault="000E04AA" w:rsidP="002E623A">
      <w:pPr>
        <w:pStyle w:val="ListParagraph"/>
        <w:numPr>
          <w:ilvl w:val="0"/>
          <w:numId w:val="33"/>
        </w:numPr>
      </w:pPr>
      <w:r w:rsidRPr="00DF2B2B">
        <w:t xml:space="preserve">Professor Chris </w:t>
      </w:r>
      <w:proofErr w:type="spellStart"/>
      <w:r w:rsidRPr="00DF2B2B">
        <w:t>Ba</w:t>
      </w:r>
      <w:r w:rsidR="009C0B03">
        <w:t>ggoley</w:t>
      </w:r>
      <w:proofErr w:type="spellEnd"/>
      <w:r w:rsidR="009C0B03">
        <w:t>, Chief Medical Officer for</w:t>
      </w:r>
      <w:r w:rsidRPr="00DF2B2B">
        <w:t xml:space="preserve"> the Department of Health and Ageing </w:t>
      </w:r>
      <w:r>
        <w:t>was</w:t>
      </w:r>
      <w:r w:rsidRPr="00DF2B2B">
        <w:t xml:space="preserve"> appointed to oversee the review of private health insurance rebates for natural therapies.</w:t>
      </w:r>
      <w:r w:rsidRPr="00DF2B2B">
        <w:rPr>
          <w:vertAlign w:val="superscript"/>
        </w:rPr>
        <w:footnoteReference w:id="8"/>
      </w:r>
      <w:r>
        <w:t xml:space="preserve"> </w:t>
      </w:r>
    </w:p>
    <w:p w:rsidR="002E623A" w:rsidRDefault="000E04AA" w:rsidP="002E623A">
      <w:pPr>
        <w:pStyle w:val="ListParagraph"/>
        <w:numPr>
          <w:ilvl w:val="0"/>
          <w:numId w:val="33"/>
        </w:numPr>
      </w:pPr>
      <w:r>
        <w:t xml:space="preserve">The review </w:t>
      </w:r>
      <w:r w:rsidRPr="00DF2B2B">
        <w:t>commenc</w:t>
      </w:r>
      <w:r>
        <w:t>ed</w:t>
      </w:r>
      <w:r w:rsidRPr="00DF2B2B">
        <w:t xml:space="preserve"> in July 2012</w:t>
      </w:r>
      <w:r>
        <w:t>,</w:t>
      </w:r>
      <w:r w:rsidRPr="00DF2B2B">
        <w:t xml:space="preserve"> to identify which natural therapies are underpinned by a robust evidence base. </w:t>
      </w:r>
    </w:p>
    <w:p w:rsidR="002E623A" w:rsidRDefault="000E04AA" w:rsidP="002E623A">
      <w:pPr>
        <w:pStyle w:val="ListParagraph"/>
        <w:numPr>
          <w:ilvl w:val="0"/>
          <w:numId w:val="33"/>
        </w:numPr>
      </w:pPr>
      <w:r w:rsidRPr="00DF2B2B">
        <w:t xml:space="preserve">Prof </w:t>
      </w:r>
      <w:proofErr w:type="spellStart"/>
      <w:r w:rsidRPr="00DF2B2B">
        <w:t>Baggoley</w:t>
      </w:r>
      <w:proofErr w:type="spellEnd"/>
      <w:r w:rsidRPr="00DF2B2B">
        <w:t xml:space="preserve"> has advised </w:t>
      </w:r>
      <w:r>
        <w:t xml:space="preserve">that </w:t>
      </w:r>
      <w:r w:rsidRPr="00DF2B2B">
        <w:t xml:space="preserve">rebate changes will be implemented from 1 January 2014. </w:t>
      </w:r>
    </w:p>
    <w:p w:rsidR="000E04AA" w:rsidRPr="00DF2B2B" w:rsidRDefault="000E04AA" w:rsidP="002E623A">
      <w:pPr>
        <w:pStyle w:val="ListParagraph"/>
        <w:numPr>
          <w:ilvl w:val="0"/>
          <w:numId w:val="33"/>
        </w:numPr>
      </w:pPr>
      <w:r w:rsidRPr="00DF2B2B">
        <w:t xml:space="preserve">After this date health funds will only pay benefits for natural therapies that have been found by the review to </w:t>
      </w:r>
      <w:r>
        <w:t xml:space="preserve">be </w:t>
      </w:r>
      <w:r w:rsidRPr="00DF2B2B">
        <w:t xml:space="preserve">clinically effective. </w:t>
      </w:r>
    </w:p>
    <w:p w:rsidR="000E04AA" w:rsidRPr="00C7125A" w:rsidRDefault="000E04AA" w:rsidP="000E04AA">
      <w:pPr>
        <w:pStyle w:val="Heading2"/>
        <w:rPr>
          <w:sz w:val="22"/>
          <w:u w:val="none"/>
        </w:rPr>
      </w:pPr>
      <w:bookmarkStart w:id="9" w:name="_Toc360099494"/>
      <w:r w:rsidRPr="00C7125A">
        <w:rPr>
          <w:sz w:val="22"/>
          <w:u w:val="none"/>
        </w:rPr>
        <w:t>The introduction of In Vitro Diagnostic Device listing to the TGA</w:t>
      </w:r>
      <w:bookmarkEnd w:id="9"/>
      <w:r w:rsidRPr="00C7125A">
        <w:rPr>
          <w:sz w:val="22"/>
          <w:u w:val="none"/>
        </w:rPr>
        <w:t xml:space="preserve"> </w:t>
      </w:r>
    </w:p>
    <w:p w:rsidR="00032B60" w:rsidRDefault="000E04AA" w:rsidP="002E623A">
      <w:pPr>
        <w:pStyle w:val="ListParagraph"/>
        <w:numPr>
          <w:ilvl w:val="0"/>
          <w:numId w:val="34"/>
        </w:numPr>
      </w:pPr>
      <w:r w:rsidRPr="00DF2B2B">
        <w:t xml:space="preserve">The TGA announced in 2009 that all in-vitro medical devices would be included on the Australian Register of Therapeutic Goods (ARTG) by </w:t>
      </w:r>
      <w:r>
        <w:t xml:space="preserve">1 July </w:t>
      </w:r>
      <w:r w:rsidRPr="00DF2B2B">
        <w:t xml:space="preserve">2014. </w:t>
      </w:r>
    </w:p>
    <w:p w:rsidR="002E623A" w:rsidRDefault="000E04AA" w:rsidP="002E623A">
      <w:pPr>
        <w:pStyle w:val="ListParagraph"/>
        <w:numPr>
          <w:ilvl w:val="0"/>
          <w:numId w:val="34"/>
        </w:numPr>
      </w:pPr>
      <w:r w:rsidRPr="00DF2B2B">
        <w:t>An aspect that has not been widely publicised is that within the Therapeutic Goods Regulations</w:t>
      </w:r>
      <w:r w:rsidR="002E623A">
        <w:t>,</w:t>
      </w:r>
      <w:r w:rsidRPr="00DF2B2B">
        <w:t xml:space="preserve"> a health practitioner is defined for the purposes of determining which </w:t>
      </w:r>
      <w:r>
        <w:t>practitioners</w:t>
      </w:r>
      <w:r w:rsidRPr="00DF2B2B">
        <w:t xml:space="preserve"> can use devices designed for professional use. </w:t>
      </w:r>
      <w:r>
        <w:t>Naturopaths</w:t>
      </w:r>
      <w:r w:rsidRPr="00DF2B2B">
        <w:t xml:space="preserve"> and </w:t>
      </w:r>
      <w:r>
        <w:t>Western Herbal Medicine</w:t>
      </w:r>
      <w:r w:rsidRPr="00DF2B2B">
        <w:t xml:space="preserve"> </w:t>
      </w:r>
      <w:r>
        <w:t>Practitioners</w:t>
      </w:r>
      <w:r w:rsidRPr="00DF2B2B">
        <w:t xml:space="preserve"> are </w:t>
      </w:r>
      <w:r w:rsidRPr="002E623A">
        <w:rPr>
          <w:b/>
        </w:rPr>
        <w:t>not</w:t>
      </w:r>
      <w:r w:rsidRPr="00DF2B2B">
        <w:t xml:space="preserve"> included in this definition, but all practices regulated by AHPRA are considered to be healthcare </w:t>
      </w:r>
      <w:r>
        <w:t>practitioners</w:t>
      </w:r>
      <w:r w:rsidRPr="00DF2B2B">
        <w:t xml:space="preserve"> for the purposes of these Regulations. </w:t>
      </w:r>
    </w:p>
    <w:p w:rsidR="000E04AA" w:rsidRPr="002E623A" w:rsidRDefault="000E04AA" w:rsidP="002E623A">
      <w:pPr>
        <w:pStyle w:val="ListParagraph"/>
        <w:numPr>
          <w:ilvl w:val="0"/>
          <w:numId w:val="34"/>
        </w:numPr>
      </w:pPr>
      <w:r w:rsidRPr="002E623A">
        <w:t xml:space="preserve">Other practitioners not included in this list are considered by the regulator to be lay people or at the same level as consumers. </w:t>
      </w:r>
    </w:p>
    <w:p w:rsidR="002E623A" w:rsidRDefault="000E04AA" w:rsidP="002E623A">
      <w:pPr>
        <w:pStyle w:val="ListParagraph"/>
        <w:numPr>
          <w:ilvl w:val="0"/>
          <w:numId w:val="34"/>
        </w:numPr>
      </w:pPr>
      <w:r w:rsidRPr="00DF2B2B">
        <w:t>The potential impact of this is that companies currently selling in-vitro diagnostic devices</w:t>
      </w:r>
      <w:r>
        <w:t xml:space="preserve"> (IVDDs</w:t>
      </w:r>
      <w:r w:rsidR="00032B60">
        <w:t xml:space="preserve">) </w:t>
      </w:r>
      <w:r w:rsidR="00032B60" w:rsidRPr="00DF2B2B">
        <w:t>to</w:t>
      </w:r>
      <w:r w:rsidRPr="00DF2B2B">
        <w:t xml:space="preserve"> these non-registered </w:t>
      </w:r>
      <w:r>
        <w:t>practitioners</w:t>
      </w:r>
      <w:r w:rsidRPr="00DF2B2B">
        <w:t xml:space="preserve"> will have to significantly modify many of </w:t>
      </w:r>
      <w:r>
        <w:t>the devices</w:t>
      </w:r>
      <w:r w:rsidRPr="00DF2B2B">
        <w:t xml:space="preserve"> to be suitable for use by a ‘consumer’. </w:t>
      </w:r>
    </w:p>
    <w:p w:rsidR="000E04AA" w:rsidRDefault="000E04AA" w:rsidP="002E623A">
      <w:pPr>
        <w:pStyle w:val="ListParagraph"/>
        <w:numPr>
          <w:ilvl w:val="0"/>
          <w:numId w:val="34"/>
        </w:numPr>
      </w:pPr>
      <w:r w:rsidRPr="00DF2B2B">
        <w:t xml:space="preserve">This is a very significant expense and is likely to reduce the available choice of these devices on the market. It may also mean the loss of devices that </w:t>
      </w:r>
      <w:r>
        <w:t>practitioners</w:t>
      </w:r>
      <w:r w:rsidRPr="00DF2B2B">
        <w:t xml:space="preserve"> currently rely </w:t>
      </w:r>
      <w:r>
        <w:t>up</w:t>
      </w:r>
      <w:r w:rsidRPr="00DF2B2B">
        <w:t xml:space="preserve">on, if companies are </w:t>
      </w:r>
      <w:r>
        <w:t xml:space="preserve">unable or </w:t>
      </w:r>
      <w:r w:rsidRPr="00DF2B2B">
        <w:t xml:space="preserve">unwilling to make the required changes. </w:t>
      </w:r>
    </w:p>
    <w:p w:rsidR="002E623A" w:rsidRDefault="000E04AA" w:rsidP="002E623A">
      <w:pPr>
        <w:pStyle w:val="ListParagraph"/>
        <w:numPr>
          <w:ilvl w:val="0"/>
          <w:numId w:val="34"/>
        </w:numPr>
      </w:pPr>
      <w:r w:rsidRPr="00DF2B2B">
        <w:t>Finally, there are a large number of tests currently available that are considered unsuitable for use by consumers due to the serious nature of the diseases th</w:t>
      </w:r>
      <w:r>
        <w:t>at they</w:t>
      </w:r>
      <w:r w:rsidRPr="00DF2B2B">
        <w:t xml:space="preserve"> measur</w:t>
      </w:r>
      <w:r>
        <w:t>e</w:t>
      </w:r>
      <w:r w:rsidRPr="00DF2B2B">
        <w:t xml:space="preserve">. These will not be allowed to be promoted or sold to non-registered </w:t>
      </w:r>
      <w:r>
        <w:t xml:space="preserve">practitioners </w:t>
      </w:r>
      <w:r w:rsidRPr="00DF2B2B">
        <w:t>from</w:t>
      </w:r>
      <w:r>
        <w:t xml:space="preserve"> 1 July </w:t>
      </w:r>
      <w:r w:rsidRPr="00DF2B2B">
        <w:t xml:space="preserve">2014. </w:t>
      </w:r>
    </w:p>
    <w:p w:rsidR="000E04AA" w:rsidRPr="00DF2B2B" w:rsidRDefault="000E04AA" w:rsidP="002E623A">
      <w:pPr>
        <w:pStyle w:val="ListParagraph"/>
        <w:numPr>
          <w:ilvl w:val="0"/>
          <w:numId w:val="34"/>
        </w:numPr>
      </w:pPr>
      <w:r w:rsidRPr="00DF2B2B">
        <w:t xml:space="preserve">Devices that could be impacted by these changes include point of care urinary tests, finger prick blood tests, biological impedance analysers and other devices which provide data about health conditions from a body fluid sample or by being in contact with the body. </w:t>
      </w:r>
    </w:p>
    <w:p w:rsidR="000E04AA" w:rsidRPr="00C7125A" w:rsidRDefault="000E04AA" w:rsidP="000E04AA">
      <w:pPr>
        <w:pStyle w:val="Heading2"/>
        <w:rPr>
          <w:sz w:val="22"/>
          <w:u w:val="none"/>
        </w:rPr>
      </w:pPr>
      <w:bookmarkStart w:id="10" w:name="_Toc360099495"/>
      <w:r w:rsidRPr="00DC4FEA">
        <w:rPr>
          <w:sz w:val="22"/>
          <w:u w:val="none"/>
        </w:rPr>
        <w:lastRenderedPageBreak/>
        <w:t>Advertising of Complementary Medicines to Practitioners</w:t>
      </w:r>
      <w:bookmarkEnd w:id="10"/>
      <w:r w:rsidRPr="00C7125A">
        <w:rPr>
          <w:sz w:val="22"/>
          <w:u w:val="none"/>
        </w:rPr>
        <w:t xml:space="preserve"> </w:t>
      </w:r>
    </w:p>
    <w:p w:rsidR="00032B60" w:rsidRDefault="000E04AA" w:rsidP="002E623A">
      <w:pPr>
        <w:pStyle w:val="ListParagraph"/>
        <w:numPr>
          <w:ilvl w:val="0"/>
          <w:numId w:val="35"/>
        </w:numPr>
      </w:pPr>
      <w:r w:rsidRPr="00DF2B2B">
        <w:t>A review of the advertising of</w:t>
      </w:r>
      <w:r>
        <w:t xml:space="preserve"> all</w:t>
      </w:r>
      <w:r w:rsidRPr="00DF2B2B">
        <w:t xml:space="preserve"> therapeutic goods</w:t>
      </w:r>
      <w:r>
        <w:t>, including complementary medicines</w:t>
      </w:r>
      <w:r w:rsidRPr="00DF2B2B">
        <w:t xml:space="preserve"> is currently underway by the TGA. </w:t>
      </w:r>
    </w:p>
    <w:p w:rsidR="00032B60" w:rsidRDefault="000E04AA" w:rsidP="002E623A">
      <w:pPr>
        <w:pStyle w:val="ListParagraph"/>
        <w:numPr>
          <w:ilvl w:val="0"/>
          <w:numId w:val="35"/>
        </w:numPr>
      </w:pPr>
      <w:r w:rsidRPr="00DF2B2B">
        <w:t>In May 2012 the TGA published a draft document outlining some of the intentions with regard to advertising changes.</w:t>
      </w:r>
      <w:r w:rsidRPr="00DF2B2B">
        <w:rPr>
          <w:vertAlign w:val="superscript"/>
        </w:rPr>
        <w:footnoteReference w:id="9"/>
      </w:r>
      <w:r w:rsidRPr="00DF2B2B">
        <w:t xml:space="preserve"> </w:t>
      </w:r>
    </w:p>
    <w:p w:rsidR="00032B60" w:rsidRDefault="000E04AA" w:rsidP="002E623A">
      <w:pPr>
        <w:pStyle w:val="ListParagraph"/>
        <w:numPr>
          <w:ilvl w:val="0"/>
          <w:numId w:val="35"/>
        </w:numPr>
      </w:pPr>
      <w:r w:rsidRPr="00DF2B2B">
        <w:t xml:space="preserve">In the current advertising legislation, section 42AA of the </w:t>
      </w:r>
      <w:r w:rsidRPr="002E623A">
        <w:rPr>
          <w:i/>
        </w:rPr>
        <w:t>Therapeutic Goods Act 1989</w:t>
      </w:r>
      <w:r w:rsidRPr="00DF2B2B">
        <w:t>,</w:t>
      </w:r>
      <w:r w:rsidRPr="00DF2B2B">
        <w:rPr>
          <w:vertAlign w:val="superscript"/>
        </w:rPr>
        <w:footnoteReference w:id="10"/>
      </w:r>
      <w:r w:rsidRPr="00DF2B2B">
        <w:t xml:space="preserve"> a definition of health care </w:t>
      </w:r>
      <w:r>
        <w:t>practitioners</w:t>
      </w:r>
      <w:r w:rsidR="00032B60">
        <w:t xml:space="preserve"> is included, and a</w:t>
      </w:r>
      <w:r w:rsidRPr="00DF2B2B">
        <w:t xml:space="preserve">dvertising and educational materials directed to these </w:t>
      </w:r>
      <w:r>
        <w:t>practitioners</w:t>
      </w:r>
      <w:r w:rsidRPr="00DF2B2B">
        <w:t xml:space="preserve"> are considered to be exempt from the </w:t>
      </w:r>
      <w:r w:rsidRPr="002E623A">
        <w:rPr>
          <w:i/>
        </w:rPr>
        <w:t xml:space="preserve">Therapeutic Goods Advertising Code 2007 </w:t>
      </w:r>
      <w:r w:rsidRPr="00DF2B2B">
        <w:t>for the purposes of providing technical product information, and also for the advertising of 'practitioner</w:t>
      </w:r>
      <w:r>
        <w:t>-</w:t>
      </w:r>
      <w:r w:rsidRPr="00DF2B2B">
        <w:t xml:space="preserve">only products'. </w:t>
      </w:r>
    </w:p>
    <w:p w:rsidR="00032B60" w:rsidRDefault="000E04AA" w:rsidP="002E623A">
      <w:pPr>
        <w:pStyle w:val="ListParagraph"/>
        <w:numPr>
          <w:ilvl w:val="0"/>
          <w:numId w:val="35"/>
        </w:numPr>
      </w:pPr>
      <w:r w:rsidRPr="00DF2B2B">
        <w:t xml:space="preserve">This definition specifically includes </w:t>
      </w:r>
      <w:r>
        <w:t>Naturopaths</w:t>
      </w:r>
      <w:r w:rsidRPr="00DF2B2B">
        <w:t xml:space="preserve"> and </w:t>
      </w:r>
      <w:r>
        <w:t>Western Herbal Medicine</w:t>
      </w:r>
      <w:r w:rsidRPr="00DF2B2B">
        <w:t xml:space="preserve"> </w:t>
      </w:r>
      <w:r>
        <w:t>Practitioners</w:t>
      </w:r>
      <w:r w:rsidRPr="00DF2B2B">
        <w:t xml:space="preserve">. </w:t>
      </w:r>
    </w:p>
    <w:p w:rsidR="000E04AA" w:rsidRPr="00DF2B2B" w:rsidRDefault="000E04AA" w:rsidP="002E623A">
      <w:pPr>
        <w:pStyle w:val="ListParagraph"/>
        <w:numPr>
          <w:ilvl w:val="0"/>
          <w:numId w:val="35"/>
        </w:numPr>
      </w:pPr>
      <w:r w:rsidRPr="00DF2B2B">
        <w:t>The proposed changes remove this list and simply reference a healthcare practitioner to a practice that is regulated by AHPRA.</w:t>
      </w:r>
    </w:p>
    <w:p w:rsidR="000E04AA" w:rsidRDefault="00032B60" w:rsidP="002E623A">
      <w:pPr>
        <w:pStyle w:val="ListParagraph"/>
        <w:numPr>
          <w:ilvl w:val="0"/>
          <w:numId w:val="35"/>
        </w:numPr>
      </w:pPr>
      <w:r>
        <w:t>The impact of these reforms</w:t>
      </w:r>
      <w:r w:rsidR="000E04AA" w:rsidRPr="00DF2B2B">
        <w:t xml:space="preserve">, should they come into effect, would be to remove any special advertising status that non-registered </w:t>
      </w:r>
      <w:r w:rsidR="000E04AA">
        <w:t>practitioners are currently afforded</w:t>
      </w:r>
      <w:r w:rsidR="000E04AA" w:rsidRPr="00DF2B2B">
        <w:t xml:space="preserve">. This would prevent complementary medicine companies from being able to provide any technical information to </w:t>
      </w:r>
      <w:r w:rsidR="000E04AA">
        <w:t>practitioners</w:t>
      </w:r>
      <w:r w:rsidR="000E04AA" w:rsidRPr="00DF2B2B">
        <w:t xml:space="preserve"> to assist them to understand the mechanisms of action and safety issues as they relate to products being advertised.</w:t>
      </w:r>
      <w:r w:rsidR="000E04AA">
        <w:rPr>
          <w:rStyle w:val="FootnoteReference"/>
          <w:rFonts w:cs="Calibri"/>
          <w:color w:val="000000"/>
          <w:sz w:val="21"/>
          <w:szCs w:val="21"/>
        </w:rPr>
        <w:footnoteReference w:id="11"/>
      </w:r>
      <w:r w:rsidR="000E04AA" w:rsidRPr="00DF2B2B">
        <w:t xml:space="preserve"> It may also prevent advertising of </w:t>
      </w:r>
      <w:r w:rsidR="000E04AA">
        <w:t>p</w:t>
      </w:r>
      <w:r w:rsidR="000E04AA" w:rsidRPr="00DF2B2B">
        <w:t>ractitioner-</w:t>
      </w:r>
      <w:r w:rsidR="000E04AA">
        <w:t>o</w:t>
      </w:r>
      <w:r w:rsidR="000E04AA" w:rsidRPr="00DF2B2B">
        <w:t xml:space="preserve">nly products to these </w:t>
      </w:r>
      <w:r w:rsidR="000E04AA">
        <w:t>practitioners</w:t>
      </w:r>
      <w:r w:rsidR="000E04AA" w:rsidRPr="00DF2B2B">
        <w:t xml:space="preserve">, and impact on the education that can be provided to </w:t>
      </w:r>
      <w:r w:rsidR="000E04AA">
        <w:t>practitioners</w:t>
      </w:r>
      <w:r w:rsidR="000E04AA" w:rsidRPr="00DF2B2B">
        <w:t xml:space="preserve"> by </w:t>
      </w:r>
      <w:r w:rsidR="000E04AA">
        <w:t>p</w:t>
      </w:r>
      <w:r w:rsidR="000E04AA" w:rsidRPr="00DF2B2B">
        <w:t>ractitioner-</w:t>
      </w:r>
      <w:r w:rsidR="000E04AA">
        <w:t>o</w:t>
      </w:r>
      <w:r w:rsidR="000E04AA" w:rsidRPr="00DF2B2B">
        <w:t xml:space="preserve">nly companies. This stands to have a significant negative impact on the ability of </w:t>
      </w:r>
      <w:r w:rsidR="000E04AA">
        <w:t>practitioners</w:t>
      </w:r>
      <w:r w:rsidR="000E04AA" w:rsidRPr="00DF2B2B">
        <w:t xml:space="preserve"> to practice saf</w:t>
      </w:r>
      <w:r w:rsidR="00463C2B">
        <w:t xml:space="preserve">ely and effectively, </w:t>
      </w:r>
      <w:r w:rsidR="000E04AA">
        <w:t>and to benefit from the</w:t>
      </w:r>
      <w:r w:rsidR="000E04AA" w:rsidRPr="00DF2B2B">
        <w:t xml:space="preserve"> continuing education provided by complementary medicine companies. </w:t>
      </w:r>
    </w:p>
    <w:p w:rsidR="00463C2B" w:rsidRDefault="00463C2B" w:rsidP="002E623A">
      <w:pPr>
        <w:pStyle w:val="ListParagraph"/>
        <w:numPr>
          <w:ilvl w:val="0"/>
          <w:numId w:val="35"/>
        </w:numPr>
        <w:autoSpaceDE w:val="0"/>
        <w:autoSpaceDN w:val="0"/>
        <w:adjustRightInd w:val="0"/>
      </w:pPr>
      <w:r w:rsidRPr="00FD7C15">
        <w:t xml:space="preserve">In effect, the proposed changes mean that </w:t>
      </w:r>
      <w:r w:rsidR="00063B5E">
        <w:t>Naturopaths and Western Herbal Medicine Practitioners</w:t>
      </w:r>
      <w:r w:rsidRPr="00FD7C15">
        <w:t xml:space="preserve"> would all be treated as if the</w:t>
      </w:r>
      <w:r>
        <w:t>y</w:t>
      </w:r>
      <w:r w:rsidRPr="00FD7C15">
        <w:t xml:space="preserve"> were consumers. </w:t>
      </w:r>
    </w:p>
    <w:p w:rsidR="000E04AA" w:rsidRPr="00421225" w:rsidRDefault="000E04AA" w:rsidP="000E04AA">
      <w:pPr>
        <w:pStyle w:val="Heading1"/>
        <w:rPr>
          <w:rFonts w:eastAsia="Times New Roman"/>
        </w:rPr>
      </w:pPr>
      <w:bookmarkStart w:id="11" w:name="_Toc360099496"/>
      <w:r w:rsidRPr="00421225">
        <w:rPr>
          <w:rFonts w:eastAsia="Times New Roman"/>
        </w:rPr>
        <w:t>The Criteria for Regulation</w:t>
      </w:r>
      <w:bookmarkEnd w:id="11"/>
      <w:r w:rsidRPr="00421225">
        <w:rPr>
          <w:rFonts w:eastAsia="Times New Roman"/>
        </w:rPr>
        <w:t xml:space="preserve"> </w:t>
      </w:r>
    </w:p>
    <w:p w:rsidR="000E04AA" w:rsidRDefault="000E04AA" w:rsidP="000E04AA">
      <w:pPr>
        <w:spacing w:before="0"/>
      </w:pPr>
      <w:r w:rsidRPr="00DF2B2B">
        <w:t xml:space="preserve">Whether a profession is regulated depends on it meeting </w:t>
      </w:r>
      <w:r>
        <w:t>the (</w:t>
      </w:r>
      <w:r w:rsidRPr="00DF2B2B">
        <w:t>six</w:t>
      </w:r>
      <w:r>
        <w:t>)</w:t>
      </w:r>
      <w:r w:rsidRPr="00DF2B2B">
        <w:t xml:space="preserve"> </w:t>
      </w:r>
      <w:r w:rsidRPr="005941AD">
        <w:t>criteria</w:t>
      </w:r>
      <w:r w:rsidRPr="00DF2B2B">
        <w:t xml:space="preserve"> adopted by the Australian Health Ministers Advisory Council (AHMAC) in 1995. Importantly, regulation is not about recognition of a profession; its primarily </w:t>
      </w:r>
      <w:r>
        <w:t xml:space="preserve">concern is in </w:t>
      </w:r>
      <w:r w:rsidRPr="00DF2B2B">
        <w:t xml:space="preserve">protecting the public from poorly or untrained, unscrupulous or fraudulent </w:t>
      </w:r>
      <w:r>
        <w:t>practitioners</w:t>
      </w:r>
      <w:r w:rsidRPr="00DF2B2B">
        <w:t xml:space="preserve">. </w:t>
      </w:r>
    </w:p>
    <w:p w:rsidR="000E04AA" w:rsidRDefault="000E04AA" w:rsidP="000E04AA">
      <w:r>
        <w:t>The Lin report, which was commissioned by the Victorian state government in November 2005 on</w:t>
      </w:r>
      <w:r w:rsidRPr="006C54B8">
        <w:rPr>
          <w:i/>
        </w:rPr>
        <w:t xml:space="preserve"> The Practice and Regulatory Requirements of Naturopathy and Western Herbal Medicine</w:t>
      </w:r>
      <w:r>
        <w:t>, found strong reason for the statutory regulation of these professions, and unequivocally stated that both fulfil the AHMAC criteria.</w:t>
      </w:r>
      <w:r>
        <w:rPr>
          <w:rStyle w:val="FootnoteReference"/>
        </w:rPr>
        <w:footnoteReference w:id="12"/>
      </w:r>
      <w:r>
        <w:t xml:space="preserve"> </w:t>
      </w:r>
    </w:p>
    <w:p w:rsidR="000E04AA" w:rsidRPr="00DF2B2B" w:rsidRDefault="000E04AA" w:rsidP="000E04AA">
      <w:r>
        <w:t xml:space="preserve">In fact, Naturopaths and Herbalists are the only professions for which a formal assessment has been made demonstrating that they should be regulated, who are not currently included in the scheme. </w:t>
      </w:r>
    </w:p>
    <w:p w:rsidR="000E04AA" w:rsidRPr="008422E7" w:rsidRDefault="000E04AA" w:rsidP="000E04AA">
      <w:pPr>
        <w:pStyle w:val="Heading2"/>
      </w:pPr>
      <w:bookmarkStart w:id="12" w:name="_Toc360099497"/>
      <w:r w:rsidRPr="008422E7">
        <w:lastRenderedPageBreak/>
        <w:t>The AHMAC Criteria</w:t>
      </w:r>
      <w:bookmarkEnd w:id="12"/>
    </w:p>
    <w:p w:rsidR="000E04AA" w:rsidRPr="00912F94" w:rsidRDefault="000E04AA" w:rsidP="000E04AA">
      <w:pPr>
        <w:pStyle w:val="WendyList"/>
      </w:pPr>
      <w:r w:rsidRPr="00912F94">
        <w:t>Is it appropriate for Health Ministers to exercise responsibility for regulating the occupation in question, or does the occupation more appropriately fall within the domain of another ministry?</w:t>
      </w:r>
    </w:p>
    <w:p w:rsidR="000E04AA" w:rsidRPr="00912F94" w:rsidRDefault="000E04AA" w:rsidP="000E04AA">
      <w:pPr>
        <w:pStyle w:val="WendyList"/>
      </w:pPr>
      <w:r w:rsidRPr="00912F94">
        <w:t xml:space="preserve">Do the activities of the occupation pose a significant risk of harm to the health and safety of the public? </w:t>
      </w:r>
    </w:p>
    <w:p w:rsidR="000E04AA" w:rsidRPr="00912F94" w:rsidRDefault="000E04AA" w:rsidP="000E04AA">
      <w:pPr>
        <w:pStyle w:val="WendyList"/>
      </w:pPr>
      <w:r w:rsidRPr="00912F94">
        <w:t>Do existing regulatory or other mechanisms fail to address health and safety issues?</w:t>
      </w:r>
    </w:p>
    <w:p w:rsidR="000E04AA" w:rsidRPr="00912F94" w:rsidRDefault="000E04AA" w:rsidP="000E04AA">
      <w:pPr>
        <w:pStyle w:val="WendyList"/>
      </w:pPr>
      <w:r w:rsidRPr="00912F94">
        <w:t>Is it possible to implement for the occupation in question?</w:t>
      </w:r>
    </w:p>
    <w:p w:rsidR="000E04AA" w:rsidRPr="00912F94" w:rsidRDefault="000E04AA" w:rsidP="000E04AA">
      <w:pPr>
        <w:pStyle w:val="WendyList"/>
      </w:pPr>
      <w:r w:rsidRPr="00912F94">
        <w:t>Is it practical to implement for the occupation in question?</w:t>
      </w:r>
    </w:p>
    <w:p w:rsidR="000E04AA" w:rsidRPr="00DF2B2B" w:rsidRDefault="000E04AA" w:rsidP="000E04AA">
      <w:pPr>
        <w:pStyle w:val="WendyList"/>
      </w:pPr>
      <w:r w:rsidRPr="00912F94">
        <w:t>Do the benefits to the public of regulation clearly outweigh the potential negative impact of such regulation?</w:t>
      </w:r>
    </w:p>
    <w:p w:rsidR="000E04AA" w:rsidRDefault="000E04AA" w:rsidP="000E04AA">
      <w:pPr>
        <w:pStyle w:val="Heading1"/>
      </w:pPr>
      <w:bookmarkStart w:id="13" w:name="_Toc360099498"/>
      <w:r w:rsidRPr="0028216F">
        <w:t>What the CHC is calling for</w:t>
      </w:r>
      <w:bookmarkEnd w:id="13"/>
      <w:r w:rsidRPr="0028216F">
        <w:t xml:space="preserve"> </w:t>
      </w:r>
    </w:p>
    <w:p w:rsidR="000E04AA" w:rsidRDefault="000E04AA" w:rsidP="000E04AA">
      <w:r w:rsidRPr="00DF2B2B">
        <w:t xml:space="preserve">As outlined above, the CHC believes there are a number of recent changes that seriously threaten the rights and abilities of non-registered complementary medicine </w:t>
      </w:r>
      <w:r>
        <w:t>practitioners</w:t>
      </w:r>
      <w:r w:rsidRPr="00DF2B2B">
        <w:t xml:space="preserve"> who are prescribing complementary medicines, using health fund rebates and making use of IVD</w:t>
      </w:r>
      <w:r>
        <w:t>D</w:t>
      </w:r>
      <w:r w:rsidRPr="00DF2B2B">
        <w:t>'s</w:t>
      </w:r>
      <w:r>
        <w:t xml:space="preserve"> to improve and enhance the quality of their clinical care</w:t>
      </w:r>
      <w:r w:rsidRPr="00DF2B2B">
        <w:t xml:space="preserve">. </w:t>
      </w:r>
    </w:p>
    <w:p w:rsidR="000E04AA" w:rsidRPr="00DF2B2B" w:rsidRDefault="000E04AA" w:rsidP="000E04AA">
      <w:r w:rsidRPr="00DF2B2B">
        <w:t>As the peak body representing the c</w:t>
      </w:r>
      <w:r w:rsidR="00D15F61">
        <w:t>omplementary medicines industry, we believe</w:t>
      </w:r>
      <w:r w:rsidRPr="00DF2B2B">
        <w:t xml:space="preserve"> that this poses a threat, not just to the </w:t>
      </w:r>
      <w:r>
        <w:t>practitioners</w:t>
      </w:r>
      <w:r w:rsidR="00D15F61">
        <w:t xml:space="preserve">, </w:t>
      </w:r>
      <w:r w:rsidRPr="00DF2B2B">
        <w:t>but also the viabi</w:t>
      </w:r>
      <w:r w:rsidR="00D15F61">
        <w:t>lity of a thriving  industry as a whole;</w:t>
      </w:r>
      <w:r w:rsidRPr="00DF2B2B">
        <w:t xml:space="preserve"> and </w:t>
      </w:r>
      <w:r>
        <w:t xml:space="preserve">that </w:t>
      </w:r>
      <w:r w:rsidRPr="00DF2B2B">
        <w:t>ultimately</w:t>
      </w:r>
      <w:r w:rsidR="00D15F61">
        <w:t>,</w:t>
      </w:r>
      <w:r w:rsidR="00106A15">
        <w:t xml:space="preserve"> that</w:t>
      </w:r>
      <w:r w:rsidR="00D15F61">
        <w:t xml:space="preserve"> the proposed reforms have</w:t>
      </w:r>
      <w:r w:rsidRPr="00DF2B2B">
        <w:t xml:space="preserve"> the potential to reduce the options available to consumers in caring for their health. </w:t>
      </w:r>
    </w:p>
    <w:p w:rsidR="000E04AA" w:rsidRDefault="000E04AA" w:rsidP="000E04AA">
      <w:r>
        <w:t>T</w:t>
      </w:r>
      <w:r w:rsidRPr="00DF2B2B">
        <w:t xml:space="preserve">he CHC </w:t>
      </w:r>
      <w:r>
        <w:t xml:space="preserve">is proposing to </w:t>
      </w:r>
      <w:r w:rsidRPr="00DF2B2B">
        <w:t xml:space="preserve">take action to lobby the government on the inclusion of Naturopathy and </w:t>
      </w:r>
      <w:r>
        <w:t>Western Herbal Medicine</w:t>
      </w:r>
      <w:r w:rsidRPr="00DF2B2B">
        <w:t xml:space="preserve"> </w:t>
      </w:r>
      <w:r>
        <w:t>Practitioners</w:t>
      </w:r>
      <w:r w:rsidRPr="00DF2B2B">
        <w:t xml:space="preserve"> in the AHPRA schedule and welcomes the support of all professional associations and individual </w:t>
      </w:r>
      <w:r>
        <w:t>practitioners</w:t>
      </w:r>
      <w:r w:rsidRPr="00DF2B2B">
        <w:t xml:space="preserve"> who agree with this position.</w:t>
      </w:r>
    </w:p>
    <w:p w:rsidR="000E04AA" w:rsidRDefault="000E04AA" w:rsidP="00063B5E">
      <w:pPr>
        <w:rPr>
          <w:b/>
        </w:rPr>
      </w:pPr>
      <w:r w:rsidRPr="001C3741">
        <w:rPr>
          <w:b/>
        </w:rPr>
        <w:t xml:space="preserve">The </w:t>
      </w:r>
      <w:r>
        <w:rPr>
          <w:b/>
        </w:rPr>
        <w:t>CHC</w:t>
      </w:r>
      <w:r w:rsidRPr="001C3741">
        <w:rPr>
          <w:b/>
        </w:rPr>
        <w:t xml:space="preserve"> thus seeks to gain support from </w:t>
      </w:r>
      <w:r>
        <w:rPr>
          <w:b/>
        </w:rPr>
        <w:t xml:space="preserve">all professional and </w:t>
      </w:r>
      <w:r w:rsidRPr="001C3741">
        <w:rPr>
          <w:b/>
        </w:rPr>
        <w:t xml:space="preserve">industry stakeholders in lobbying to have Statutory Registration of </w:t>
      </w:r>
      <w:r>
        <w:rPr>
          <w:b/>
        </w:rPr>
        <w:t>Naturopaths</w:t>
      </w:r>
      <w:r w:rsidRPr="001C3741">
        <w:rPr>
          <w:b/>
        </w:rPr>
        <w:t xml:space="preserve"> and </w:t>
      </w:r>
      <w:r>
        <w:rPr>
          <w:b/>
        </w:rPr>
        <w:t>Western Herbal Medicine Practitioners</w:t>
      </w:r>
      <w:r w:rsidRPr="001C3741">
        <w:rPr>
          <w:b/>
        </w:rPr>
        <w:t xml:space="preserve"> added to the agenda of Ministers at (the) COAG, in order to protect</w:t>
      </w:r>
      <w:r>
        <w:rPr>
          <w:b/>
        </w:rPr>
        <w:t xml:space="preserve"> Australian’s Health and Rights </w:t>
      </w:r>
      <w:r w:rsidRPr="001C3741">
        <w:rPr>
          <w:b/>
        </w:rPr>
        <w:t xml:space="preserve">from the inherent risks of the Naturopathic and </w:t>
      </w:r>
      <w:r>
        <w:rPr>
          <w:b/>
        </w:rPr>
        <w:t>Western Herbal Medicine</w:t>
      </w:r>
      <w:r w:rsidRPr="001C3741">
        <w:rPr>
          <w:b/>
        </w:rPr>
        <w:t xml:space="preserve"> health system as it stands</w:t>
      </w:r>
      <w:r>
        <w:rPr>
          <w:b/>
        </w:rPr>
        <w:t xml:space="preserve">,  and </w:t>
      </w:r>
      <w:r w:rsidRPr="001C3741">
        <w:rPr>
          <w:b/>
        </w:rPr>
        <w:t xml:space="preserve"> to protect </w:t>
      </w:r>
      <w:r>
        <w:rPr>
          <w:b/>
        </w:rPr>
        <w:t>Naturopaths</w:t>
      </w:r>
      <w:r w:rsidRPr="001C3741">
        <w:rPr>
          <w:b/>
        </w:rPr>
        <w:t xml:space="preserve">, </w:t>
      </w:r>
      <w:r>
        <w:rPr>
          <w:b/>
        </w:rPr>
        <w:t xml:space="preserve">Western Herbal Medicine Practitioners </w:t>
      </w:r>
      <w:r w:rsidRPr="001C3741">
        <w:rPr>
          <w:b/>
        </w:rPr>
        <w:t xml:space="preserve">and the </w:t>
      </w:r>
      <w:r>
        <w:rPr>
          <w:b/>
        </w:rPr>
        <w:t>complementary medicine</w:t>
      </w:r>
      <w:r w:rsidRPr="001C3741">
        <w:rPr>
          <w:b/>
        </w:rPr>
        <w:t xml:space="preserve"> industry’s viability as a whole.</w:t>
      </w:r>
    </w:p>
    <w:p w:rsidR="00063B5E" w:rsidRPr="002B3486" w:rsidRDefault="00063B5E" w:rsidP="00063B5E">
      <w:pPr>
        <w:rPr>
          <w:b/>
        </w:rPr>
      </w:pPr>
      <w:r w:rsidRPr="002B3486">
        <w:rPr>
          <w:b/>
        </w:rPr>
        <w:t xml:space="preserve">To register </w:t>
      </w:r>
      <w:r w:rsidR="009F003A">
        <w:rPr>
          <w:b/>
        </w:rPr>
        <w:t xml:space="preserve">your interest or </w:t>
      </w:r>
      <w:r w:rsidRPr="002B3486">
        <w:rPr>
          <w:b/>
        </w:rPr>
        <w:t>support</w:t>
      </w:r>
      <w:r w:rsidR="009F003A">
        <w:rPr>
          <w:b/>
        </w:rPr>
        <w:t>,</w:t>
      </w:r>
      <w:r w:rsidRPr="002B3486">
        <w:rPr>
          <w:b/>
        </w:rPr>
        <w:t xml:space="preserve"> please contact Shanna Choudhary at </w:t>
      </w:r>
      <w:hyperlink r:id="rId14" w:history="1">
        <w:r w:rsidRPr="002B3486">
          <w:rPr>
            <w:rStyle w:val="Hyperlink"/>
            <w:b/>
          </w:rPr>
          <w:t>shanna.choudhary@chc.org.au</w:t>
        </w:r>
      </w:hyperlink>
      <w:r w:rsidRPr="002B3486">
        <w:rPr>
          <w:b/>
        </w:rPr>
        <w:t xml:space="preserve"> or visit </w:t>
      </w:r>
      <w:hyperlink r:id="rId15" w:history="1">
        <w:r w:rsidRPr="002B3486">
          <w:rPr>
            <w:rStyle w:val="Hyperlink"/>
            <w:b/>
          </w:rPr>
          <w:t>http://chc.org.au/Registration-of-Practitioners</w:t>
        </w:r>
      </w:hyperlink>
      <w:r w:rsidRPr="002B3486">
        <w:rPr>
          <w:b/>
        </w:rPr>
        <w:t xml:space="preserve">. </w:t>
      </w:r>
    </w:p>
    <w:p w:rsidR="00063B5E" w:rsidRPr="00063B5E" w:rsidRDefault="00063B5E" w:rsidP="00063B5E">
      <w:pPr>
        <w:rPr>
          <w:b/>
        </w:rPr>
      </w:pPr>
    </w:p>
    <w:p w:rsidR="000E04AA" w:rsidRPr="00F702C0" w:rsidRDefault="000E04AA" w:rsidP="000E04AA">
      <w:pPr>
        <w:rPr>
          <w:b/>
        </w:rPr>
      </w:pPr>
    </w:p>
    <w:p w:rsidR="000E04AA" w:rsidRDefault="000E04AA" w:rsidP="000E04AA">
      <w:pPr>
        <w:pStyle w:val="Heading1"/>
        <w:numPr>
          <w:ilvl w:val="0"/>
          <w:numId w:val="0"/>
        </w:numPr>
      </w:pPr>
    </w:p>
    <w:p w:rsidR="00915DD0" w:rsidRDefault="00915DD0" w:rsidP="00E504C9"/>
    <w:p w:rsidR="000E04AA" w:rsidRDefault="000E04AA" w:rsidP="00E504C9"/>
    <w:p w:rsidR="000E04AA" w:rsidRDefault="000E04AA" w:rsidP="00E504C9"/>
    <w:p w:rsidR="000E04AA" w:rsidRDefault="000E04AA" w:rsidP="00E504C9"/>
    <w:p w:rsidR="000E04AA" w:rsidRPr="000E04AA" w:rsidRDefault="000E04AA" w:rsidP="00E504C9"/>
    <w:sectPr w:rsidR="000E04AA" w:rsidRPr="000E04AA" w:rsidSect="009A305F">
      <w:headerReference w:type="default" r:id="rId16"/>
      <w:footerReference w:type="default" r:id="rId17"/>
      <w:headerReference w:type="first" r:id="rId18"/>
      <w:pgSz w:w="11906" w:h="16838"/>
      <w:pgMar w:top="567" w:right="1134" w:bottom="567"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9D4" w:rsidRDefault="005419D4" w:rsidP="00ED146F">
      <w:r>
        <w:separator/>
      </w:r>
    </w:p>
    <w:p w:rsidR="005419D4" w:rsidRDefault="005419D4" w:rsidP="00ED146F"/>
  </w:endnote>
  <w:endnote w:type="continuationSeparator" w:id="0">
    <w:p w:rsidR="005419D4" w:rsidRDefault="005419D4" w:rsidP="00ED146F">
      <w:r>
        <w:continuationSeparator/>
      </w:r>
    </w:p>
    <w:p w:rsidR="005419D4" w:rsidRDefault="005419D4" w:rsidP="00ED146F"/>
  </w:endnote>
  <w:endnote w:id="1">
    <w:p w:rsidR="000E04AA" w:rsidRPr="00CE7EF7" w:rsidRDefault="000E04AA" w:rsidP="000E04AA">
      <w:pPr>
        <w:pStyle w:val="EndnoteText"/>
        <w:rPr>
          <w:sz w:val="16"/>
          <w:szCs w:val="16"/>
        </w:rPr>
      </w:pPr>
      <w:r w:rsidRPr="00CE7EF7">
        <w:rPr>
          <w:rStyle w:val="EndnoteReference"/>
          <w:sz w:val="16"/>
          <w:szCs w:val="16"/>
        </w:rPr>
        <w:endnoteRef/>
      </w:r>
      <w:r w:rsidRPr="00CE7EF7">
        <w:rPr>
          <w:sz w:val="16"/>
          <w:szCs w:val="16"/>
        </w:rPr>
        <w:t xml:space="preserve"> For </w:t>
      </w:r>
      <w:r w:rsidRPr="00CE7EF7">
        <w:rPr>
          <w:rFonts w:cs="Times New Roman"/>
          <w:sz w:val="16"/>
          <w:szCs w:val="16"/>
        </w:rPr>
        <w:t>approved Naturopathic and Western Herbal Medicine practitioners.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erylium">
    <w:altName w:val="Times New Roman"/>
    <w:charset w:val="00"/>
    <w:family w:val="auto"/>
    <w:pitch w:val="variable"/>
    <w:sig w:usb0="00000001" w:usb1="0000004A" w:usb2="00000000" w:usb3="00000000" w:csb0="0000019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9D4" w:rsidRPr="00491142" w:rsidRDefault="00C243CA" w:rsidP="00491142">
    <w:pPr>
      <w:pStyle w:val="Footer"/>
      <w:jc w:val="right"/>
      <w:rPr>
        <w:b/>
        <w:bCs/>
        <w:sz w:val="20"/>
      </w:rPr>
    </w:pPr>
    <w:sdt>
      <w:sdtPr>
        <w:rPr>
          <w:sz w:val="20"/>
        </w:rPr>
        <w:id w:val="-1391498380"/>
        <w:docPartObj>
          <w:docPartGallery w:val="Page Numbers (Bottom of Page)"/>
          <w:docPartUnique/>
        </w:docPartObj>
      </w:sdtPr>
      <w:sdtEndPr>
        <w:rPr>
          <w:color w:val="808080" w:themeColor="background1" w:themeShade="80"/>
          <w:spacing w:val="60"/>
        </w:rPr>
      </w:sdtEndPr>
      <w:sdtContent>
        <w:r w:rsidR="005419D4" w:rsidRPr="00491142">
          <w:rPr>
            <w:sz w:val="20"/>
          </w:rPr>
          <w:fldChar w:fldCharType="begin"/>
        </w:r>
        <w:r w:rsidR="005419D4" w:rsidRPr="00491142">
          <w:rPr>
            <w:sz w:val="20"/>
          </w:rPr>
          <w:instrText xml:space="preserve"> PAGE   \* MERGEFORMAT </w:instrText>
        </w:r>
        <w:r w:rsidR="005419D4" w:rsidRPr="00491142">
          <w:rPr>
            <w:sz w:val="20"/>
          </w:rPr>
          <w:fldChar w:fldCharType="separate"/>
        </w:r>
        <w:r w:rsidRPr="00C243CA">
          <w:rPr>
            <w:b/>
            <w:bCs/>
            <w:noProof/>
            <w:sz w:val="20"/>
          </w:rPr>
          <w:t>3</w:t>
        </w:r>
        <w:r w:rsidR="005419D4" w:rsidRPr="00491142">
          <w:rPr>
            <w:b/>
            <w:bCs/>
            <w:noProof/>
            <w:sz w:val="20"/>
          </w:rPr>
          <w:fldChar w:fldCharType="end"/>
        </w:r>
        <w:r w:rsidR="005419D4" w:rsidRPr="00491142">
          <w:rPr>
            <w:b/>
            <w:bCs/>
            <w:sz w:val="20"/>
          </w:rPr>
          <w:t xml:space="preserve"> | </w:t>
        </w:r>
        <w:r w:rsidR="005419D4" w:rsidRPr="00491142">
          <w:rPr>
            <w:color w:val="808080" w:themeColor="background1" w:themeShade="80"/>
            <w:spacing w:val="60"/>
            <w:sz w:val="20"/>
          </w:rPr>
          <w:t>Page</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9D4" w:rsidRDefault="005419D4" w:rsidP="00ED146F">
      <w:r>
        <w:separator/>
      </w:r>
    </w:p>
    <w:p w:rsidR="005419D4" w:rsidRDefault="005419D4" w:rsidP="00ED146F"/>
  </w:footnote>
  <w:footnote w:type="continuationSeparator" w:id="0">
    <w:p w:rsidR="005419D4" w:rsidRDefault="005419D4" w:rsidP="00ED146F">
      <w:r>
        <w:continuationSeparator/>
      </w:r>
    </w:p>
    <w:p w:rsidR="005419D4" w:rsidRDefault="005419D4" w:rsidP="00ED146F"/>
  </w:footnote>
  <w:footnote w:id="1">
    <w:p w:rsidR="007D6E7E" w:rsidRPr="00240CE2" w:rsidRDefault="007D6E7E" w:rsidP="007D6E7E">
      <w:pPr>
        <w:pStyle w:val="NoSpacing"/>
        <w:rPr>
          <w:rFonts w:eastAsia="Times New Roman"/>
          <w:sz w:val="16"/>
          <w:szCs w:val="16"/>
        </w:rPr>
      </w:pPr>
      <w:r w:rsidRPr="00240CE2">
        <w:rPr>
          <w:rStyle w:val="FootnoteReference"/>
          <w:sz w:val="16"/>
          <w:szCs w:val="16"/>
        </w:rPr>
        <w:footnoteRef/>
      </w:r>
      <w:r w:rsidRPr="00240CE2">
        <w:rPr>
          <w:sz w:val="16"/>
          <w:szCs w:val="16"/>
        </w:rPr>
        <w:t xml:space="preserve"> Transition period to allow time for IVDs that are currently listed or registered on the ARTG, or that are currently exempt from entry, to be included on the ARTG in accordance with the requirements of the new framework, is 4 years.</w:t>
      </w:r>
    </w:p>
    <w:p w:rsidR="007D6E7E" w:rsidRPr="00240CE2" w:rsidRDefault="007D6E7E" w:rsidP="007D6E7E">
      <w:pPr>
        <w:pStyle w:val="NoSpacing"/>
        <w:rPr>
          <w:sz w:val="16"/>
          <w:szCs w:val="16"/>
        </w:rPr>
      </w:pPr>
      <w:r w:rsidRPr="00240CE2">
        <w:rPr>
          <w:sz w:val="16"/>
          <w:szCs w:val="16"/>
        </w:rPr>
        <w:t xml:space="preserve">IVDs that are currently listed, registered or exempt will be required to become included IVDs, or to have an effective application for inclusion with the TGA prior to 1 July 2014 in order to maintain continuous legal supply. Until an IVD transitions to the new framework, Chapter 3 of the </w:t>
      </w:r>
      <w:r w:rsidRPr="00240CE2">
        <w:rPr>
          <w:rStyle w:val="pubtitle"/>
          <w:bCs/>
          <w:sz w:val="16"/>
          <w:szCs w:val="16"/>
          <w:lang w:val="en"/>
        </w:rPr>
        <w:t>Therapeutic Goods Act 1989</w:t>
      </w:r>
      <w:r w:rsidRPr="00240CE2">
        <w:rPr>
          <w:sz w:val="16"/>
          <w:szCs w:val="16"/>
        </w:rPr>
        <w:t> and the Therapeutic Goods Regulations 1990 will continue to apply.</w:t>
      </w:r>
    </w:p>
    <w:p w:rsidR="007D6E7E" w:rsidRPr="00240CE2" w:rsidRDefault="007D6E7E" w:rsidP="007D6E7E">
      <w:pPr>
        <w:pStyle w:val="NoSpacing"/>
        <w:rPr>
          <w:sz w:val="16"/>
          <w:szCs w:val="16"/>
        </w:rPr>
      </w:pPr>
      <w:r w:rsidRPr="00240CE2">
        <w:rPr>
          <w:sz w:val="16"/>
          <w:szCs w:val="16"/>
        </w:rPr>
        <w:t xml:space="preserve">Any new IVDs introduced to the Australian market after commencement of the new framework on 1 July 2010 must be included on the ARTG prior to legal supply. &lt; </w:t>
      </w:r>
      <w:hyperlink r:id="rId1" w:anchor="topofpage" w:history="1">
        <w:r w:rsidRPr="00240CE2">
          <w:rPr>
            <w:rStyle w:val="Hyperlink"/>
            <w:sz w:val="16"/>
            <w:szCs w:val="16"/>
          </w:rPr>
          <w:t>http://www.tga.gov.au/industry/ivd-framework-overview.htm#topofpage</w:t>
        </w:r>
      </w:hyperlink>
      <w:r w:rsidRPr="00240CE2">
        <w:rPr>
          <w:sz w:val="16"/>
          <w:szCs w:val="16"/>
        </w:rPr>
        <w:t>&gt;</w:t>
      </w:r>
    </w:p>
  </w:footnote>
  <w:footnote w:id="2">
    <w:p w:rsidR="007D6E7E" w:rsidRPr="00240CE2" w:rsidRDefault="007D6E7E" w:rsidP="007D6E7E">
      <w:pPr>
        <w:pStyle w:val="NoSpacing"/>
        <w:rPr>
          <w:rFonts w:ascii="Verdana" w:hAnsi="Verdana"/>
          <w:color w:val="000000"/>
          <w:sz w:val="16"/>
          <w:szCs w:val="16"/>
        </w:rPr>
      </w:pPr>
      <w:r w:rsidRPr="00240CE2">
        <w:rPr>
          <w:rStyle w:val="FootnoteReference"/>
          <w:sz w:val="16"/>
          <w:szCs w:val="16"/>
        </w:rPr>
        <w:footnoteRef/>
      </w:r>
      <w:r w:rsidRPr="00240CE2">
        <w:rPr>
          <w:b/>
          <w:color w:val="000000"/>
          <w:sz w:val="16"/>
          <w:szCs w:val="16"/>
        </w:rPr>
        <w:t>The Review of the Australian Government Rebate on Private Health Insurance for Natural Therapies &lt;</w:t>
      </w:r>
      <w:hyperlink r:id="rId2" w:history="1">
        <w:r w:rsidRPr="00240CE2">
          <w:rPr>
            <w:rStyle w:val="Hyperlink"/>
            <w:sz w:val="16"/>
            <w:szCs w:val="16"/>
          </w:rPr>
          <w:t>http://health.gov.au/internet/main/publishing.nsf/Content/phi-natural-therapies</w:t>
        </w:r>
      </w:hyperlink>
      <w:r w:rsidRPr="00240CE2">
        <w:rPr>
          <w:sz w:val="16"/>
          <w:szCs w:val="16"/>
        </w:rPr>
        <w:t>&gt;</w:t>
      </w:r>
    </w:p>
  </w:footnote>
  <w:footnote w:id="3">
    <w:p w:rsidR="007D6E7E" w:rsidRPr="00240CE2" w:rsidRDefault="007D6E7E" w:rsidP="007D6E7E">
      <w:pPr>
        <w:pStyle w:val="NoSpacing"/>
        <w:rPr>
          <w:sz w:val="16"/>
          <w:szCs w:val="16"/>
        </w:rPr>
      </w:pPr>
      <w:r w:rsidRPr="00240CE2">
        <w:rPr>
          <w:rStyle w:val="FootnoteReference"/>
          <w:sz w:val="16"/>
          <w:szCs w:val="16"/>
        </w:rPr>
        <w:footnoteRef/>
      </w:r>
      <w:r w:rsidRPr="00240CE2">
        <w:rPr>
          <w:sz w:val="16"/>
          <w:szCs w:val="16"/>
        </w:rPr>
        <w:t xml:space="preserve"> Section 42AA, Therapeutic Goods Advertising Code &lt;</w:t>
      </w:r>
      <w:hyperlink r:id="rId3" w:anchor="att1" w:history="1">
        <w:r w:rsidRPr="00240CE2">
          <w:rPr>
            <w:rStyle w:val="Hyperlink"/>
            <w:sz w:val="16"/>
            <w:szCs w:val="16"/>
          </w:rPr>
          <w:t>http://www.tga.gov.au/industry/advertising-schedule1-explained.htm#att1</w:t>
        </w:r>
      </w:hyperlink>
      <w:r w:rsidRPr="00240CE2">
        <w:rPr>
          <w:sz w:val="16"/>
          <w:szCs w:val="16"/>
        </w:rPr>
        <w:t>&gt;</w:t>
      </w:r>
    </w:p>
  </w:footnote>
  <w:footnote w:id="4">
    <w:p w:rsidR="007D6E7E" w:rsidRPr="00240CE2" w:rsidRDefault="007D6E7E" w:rsidP="007D6E7E">
      <w:pPr>
        <w:pStyle w:val="NoSpacing"/>
        <w:rPr>
          <w:sz w:val="16"/>
          <w:szCs w:val="16"/>
        </w:rPr>
      </w:pPr>
      <w:r w:rsidRPr="00240CE2">
        <w:rPr>
          <w:rStyle w:val="FootnoteReference"/>
          <w:sz w:val="16"/>
          <w:szCs w:val="16"/>
        </w:rPr>
        <w:footnoteRef/>
      </w:r>
      <w:r w:rsidRPr="00240CE2">
        <w:rPr>
          <w:sz w:val="16"/>
          <w:szCs w:val="16"/>
        </w:rPr>
        <w:t xml:space="preserve"> TGA Consultation Regulation Impact Statement, Regulating the advertising of therapeutic goods to the general public</w:t>
      </w:r>
    </w:p>
    <w:p w:rsidR="007D6E7E" w:rsidRPr="00240CE2" w:rsidRDefault="007D6E7E" w:rsidP="007D6E7E">
      <w:pPr>
        <w:pStyle w:val="NoSpacing"/>
        <w:rPr>
          <w:sz w:val="16"/>
          <w:szCs w:val="16"/>
        </w:rPr>
      </w:pPr>
      <w:r w:rsidRPr="00240CE2">
        <w:rPr>
          <w:sz w:val="16"/>
          <w:szCs w:val="16"/>
        </w:rPr>
        <w:t>Version 4.6, May 2013 &lt;</w:t>
      </w:r>
      <w:hyperlink r:id="rId4" w:history="1">
        <w:r w:rsidRPr="00240CE2">
          <w:rPr>
            <w:rStyle w:val="Hyperlink"/>
            <w:sz w:val="16"/>
            <w:szCs w:val="16"/>
          </w:rPr>
          <w:t>http://www.tga.gov.au/pdf/consult/consult-advertising-ris-130531.pdf</w:t>
        </w:r>
      </w:hyperlink>
      <w:r w:rsidRPr="00240CE2">
        <w:rPr>
          <w:sz w:val="16"/>
          <w:szCs w:val="16"/>
        </w:rPr>
        <w:t>&gt; page 28</w:t>
      </w:r>
    </w:p>
  </w:footnote>
  <w:footnote w:id="5">
    <w:p w:rsidR="005419D4" w:rsidRPr="00CE7EF7" w:rsidRDefault="005419D4" w:rsidP="00CE7EF7">
      <w:pPr>
        <w:pStyle w:val="FootnoteText"/>
      </w:pPr>
      <w:r w:rsidRPr="00CE7EF7">
        <w:rPr>
          <w:rStyle w:val="FootnoteReference"/>
          <w:vertAlign w:val="baseline"/>
        </w:rPr>
        <w:footnoteRef/>
      </w:r>
      <w:r w:rsidRPr="00CE7EF7">
        <w:t xml:space="preserve"> </w:t>
      </w:r>
      <w:r w:rsidRPr="00CE7EF7">
        <w:tab/>
      </w:r>
      <w:hyperlink r:id="rId5" w:history="1">
        <w:r w:rsidRPr="00CE7EF7">
          <w:rPr>
            <w:rStyle w:val="Hyperlink"/>
            <w:rFonts w:cs="Calibri"/>
          </w:rPr>
          <w:t>http://www.abs.gov.au/ausstats/abs@.nsf/lookup/4102.0chapter5202008</w:t>
        </w:r>
      </w:hyperlink>
    </w:p>
  </w:footnote>
  <w:footnote w:id="6">
    <w:p w:rsidR="000E04AA" w:rsidRPr="00CE7EF7" w:rsidRDefault="000E04AA" w:rsidP="00CE7EF7">
      <w:pPr>
        <w:pStyle w:val="FootnoteText"/>
        <w:rPr>
          <w:lang w:val="en-US"/>
        </w:rPr>
      </w:pPr>
      <w:r w:rsidRPr="00CE7EF7">
        <w:rPr>
          <w:rStyle w:val="FootnoteReference"/>
        </w:rPr>
        <w:footnoteRef/>
      </w:r>
      <w:r w:rsidRPr="00CE7EF7">
        <w:t xml:space="preserve">     </w:t>
      </w:r>
      <w:r w:rsidRPr="00CE7EF7">
        <w:rPr>
          <w:lang w:val="en-US"/>
        </w:rPr>
        <w:t xml:space="preserve">CAM is defined is defined by the National Centre for Complementary and Alternative Medicine as a group of diverse medical and health care systems, practices, and products that are not generally considered to be part of conventional medicine. Source http://nccam.nih.gov/health/whatiscam </w:t>
      </w:r>
    </w:p>
  </w:footnote>
  <w:footnote w:id="7">
    <w:p w:rsidR="000E04AA" w:rsidRPr="00322C57" w:rsidRDefault="000E04AA" w:rsidP="00CE7EF7">
      <w:pPr>
        <w:pStyle w:val="FootnoteText"/>
        <w:rPr>
          <w:szCs w:val="18"/>
        </w:rPr>
      </w:pPr>
      <w:r w:rsidRPr="00CE7EF7">
        <w:rPr>
          <w:rStyle w:val="FootnoteReference"/>
          <w:vertAlign w:val="baseline"/>
        </w:rPr>
        <w:footnoteRef/>
      </w:r>
      <w:r w:rsidRPr="00CE7EF7">
        <w:t xml:space="preserve"> </w:t>
      </w:r>
      <w:r w:rsidRPr="00CE7EF7">
        <w:tab/>
      </w:r>
      <w:proofErr w:type="spellStart"/>
      <w:r w:rsidRPr="00CE7EF7">
        <w:t>Xue</w:t>
      </w:r>
      <w:proofErr w:type="spellEnd"/>
      <w:r w:rsidRPr="00CE7EF7">
        <w:t xml:space="preserve"> et al 2007, Complementary and Alternative Medicine Use in Australia: A Population-based Survey, Journal of Alternative and Complementary Medicine 2007, 13: 643-650.</w:t>
      </w:r>
    </w:p>
  </w:footnote>
  <w:footnote w:id="8">
    <w:p w:rsidR="000E04AA" w:rsidRPr="00023272" w:rsidRDefault="000E04AA" w:rsidP="00CE7EF7">
      <w:pPr>
        <w:pStyle w:val="FootnoteText"/>
      </w:pPr>
      <w:r w:rsidRPr="00023272">
        <w:rPr>
          <w:rStyle w:val="FootnoteReference"/>
          <w:vertAlign w:val="baseline"/>
        </w:rPr>
        <w:footnoteRef/>
      </w:r>
      <w:r w:rsidRPr="00023272">
        <w:tab/>
      </w:r>
      <w:hyperlink r:id="rId6" w:history="1">
        <w:r w:rsidRPr="00CE7EF7">
          <w:rPr>
            <w:rStyle w:val="Hyperlink"/>
            <w:color w:val="365F91" w:themeColor="accent1" w:themeShade="BF"/>
          </w:rPr>
          <w:t>http://www.health.gov.au/internet/main/publishing.nsf/Content/currentissue-P12000015</w:t>
        </w:r>
      </w:hyperlink>
      <w:r w:rsidRPr="00023272">
        <w:rPr>
          <w:color w:val="365F91" w:themeColor="accent1" w:themeShade="BF"/>
        </w:rPr>
        <w:t xml:space="preserve"> </w:t>
      </w:r>
    </w:p>
  </w:footnote>
  <w:footnote w:id="9">
    <w:p w:rsidR="000E04AA" w:rsidRPr="00CE7EF7" w:rsidRDefault="000E04AA" w:rsidP="00CE7EF7">
      <w:pPr>
        <w:pStyle w:val="FootnoteText"/>
      </w:pPr>
      <w:r w:rsidRPr="00CE7EF7">
        <w:rPr>
          <w:rStyle w:val="FootnoteReference"/>
        </w:rPr>
        <w:footnoteRef/>
      </w:r>
      <w:r w:rsidRPr="00CE7EF7">
        <w:tab/>
      </w:r>
      <w:hyperlink r:id="rId7" w:history="1">
        <w:r w:rsidRPr="00CE7EF7">
          <w:rPr>
            <w:rStyle w:val="Hyperlink"/>
            <w:rFonts w:cs="Calibri"/>
          </w:rPr>
          <w:t>http://www.tga.gov.au/industry/advertising-framework-120529.htm</w:t>
        </w:r>
      </w:hyperlink>
      <w:r w:rsidRPr="00CE7EF7">
        <w:t xml:space="preserve"> </w:t>
      </w:r>
    </w:p>
  </w:footnote>
  <w:footnote w:id="10">
    <w:p w:rsidR="000E04AA" w:rsidRPr="00CE7EF7" w:rsidRDefault="000E04AA" w:rsidP="00CE7EF7">
      <w:pPr>
        <w:pStyle w:val="FootnoteText"/>
      </w:pPr>
      <w:r w:rsidRPr="00CE7EF7">
        <w:rPr>
          <w:rStyle w:val="FootnoteReference"/>
        </w:rPr>
        <w:footnoteRef/>
      </w:r>
      <w:r w:rsidRPr="00CE7EF7">
        <w:tab/>
        <w:t>http://www.comlaw.gov.au/Details/C2013C00132</w:t>
      </w:r>
    </w:p>
  </w:footnote>
  <w:footnote w:id="11">
    <w:p w:rsidR="000E04AA" w:rsidRPr="00CE7EF7" w:rsidRDefault="000E04AA" w:rsidP="00CE7EF7">
      <w:pPr>
        <w:pStyle w:val="FootnoteText"/>
      </w:pPr>
      <w:r w:rsidRPr="00CE7EF7">
        <w:rPr>
          <w:rStyle w:val="FootnoteReference"/>
        </w:rPr>
        <w:footnoteRef/>
      </w:r>
      <w:r w:rsidRPr="00CE7EF7">
        <w:t xml:space="preserve"> </w:t>
      </w:r>
      <w:r w:rsidRPr="00CE7EF7">
        <w:tab/>
        <w:t>these provisions allow for the dissemination of new research to professional communities, so they do not have a lag time of years to wait for results (as often required for public dissemination)</w:t>
      </w:r>
    </w:p>
  </w:footnote>
  <w:footnote w:id="12">
    <w:p w:rsidR="000E04AA" w:rsidRPr="00322C57" w:rsidRDefault="000E04AA" w:rsidP="00CE7EF7">
      <w:pPr>
        <w:pStyle w:val="FootnoteText"/>
        <w:rPr>
          <w:szCs w:val="18"/>
        </w:rPr>
      </w:pPr>
      <w:r w:rsidRPr="00CE7EF7">
        <w:rPr>
          <w:rStyle w:val="FootnoteReference"/>
          <w:vertAlign w:val="baseline"/>
        </w:rPr>
        <w:footnoteRef/>
      </w:r>
      <w:r w:rsidRPr="00CE7EF7">
        <w:t xml:space="preserve"> </w:t>
      </w:r>
      <w:r w:rsidRPr="00CE7EF7">
        <w:tab/>
        <w:t>Lin V et al. The Practice and Regulatory Requirements of Naturopathy and Western Herbal Medicine p20,  La Trobe University School of Public Health, 2005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9D4" w:rsidRPr="00ED146F" w:rsidRDefault="005419D4" w:rsidP="00ED146F">
    <w:pPr>
      <w:pStyle w:val="Header"/>
      <w:pBdr>
        <w:bottom w:val="single" w:sz="6" w:space="1" w:color="auto"/>
      </w:pBdr>
      <w:spacing w:before="0"/>
      <w:rPr>
        <w:b/>
      </w:rPr>
    </w:pPr>
    <w:r w:rsidRPr="00ED146F">
      <w:rPr>
        <w:b/>
      </w:rPr>
      <w:t xml:space="preserve">Complementary Healthcare Council of Australia </w:t>
    </w:r>
  </w:p>
  <w:p w:rsidR="005419D4" w:rsidRPr="00ED146F" w:rsidRDefault="005419D4" w:rsidP="00ED146F">
    <w:pPr>
      <w:pStyle w:val="Header"/>
      <w:spacing w:before="0"/>
      <w:jc w:val="right"/>
      <w:rPr>
        <w:b/>
      </w:rPr>
    </w:pPr>
    <w:r w:rsidRPr="00ED146F">
      <w:rPr>
        <w:b/>
      </w:rPr>
      <w:t xml:space="preserve">Registration of Naturopaths &amp; </w:t>
    </w:r>
    <w:r>
      <w:rPr>
        <w:b/>
      </w:rPr>
      <w:t>Western Herbal Medicine</w:t>
    </w:r>
    <w:r w:rsidRPr="00ED146F">
      <w:rPr>
        <w:b/>
      </w:rPr>
      <w:t xml:space="preserve"> Practitioners:</w:t>
    </w:r>
  </w:p>
  <w:p w:rsidR="005419D4" w:rsidRPr="00ED146F" w:rsidRDefault="005419D4" w:rsidP="00ED146F">
    <w:pPr>
      <w:pStyle w:val="Header"/>
      <w:spacing w:before="0"/>
      <w:jc w:val="right"/>
      <w:rPr>
        <w:b/>
      </w:rPr>
    </w:pPr>
    <w:r w:rsidRPr="00ED146F">
      <w:rPr>
        <w:b/>
      </w:rPr>
      <w:t>Protecting Public Health and Rights</w:t>
    </w:r>
  </w:p>
  <w:p w:rsidR="005419D4" w:rsidRPr="00454E55" w:rsidRDefault="005419D4" w:rsidP="00ED146F">
    <w:pPr>
      <w:pStyle w:val="Header"/>
    </w:pPr>
  </w:p>
  <w:p w:rsidR="005419D4" w:rsidRDefault="005419D4" w:rsidP="00ED146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9D4" w:rsidRDefault="005419D4" w:rsidP="00B0765D">
    <w:pPr>
      <w:pStyle w:val="Header"/>
      <w:jc w:val="center"/>
    </w:pPr>
    <w:r>
      <w:rPr>
        <w:noProof/>
      </w:rPr>
      <w:drawing>
        <wp:inline distT="0" distB="0" distL="0" distR="0" wp14:anchorId="577FC084" wp14:editId="5B0979FE">
          <wp:extent cx="4126174" cy="1008000"/>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C_logo - New - Oct 201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26174" cy="1008000"/>
                  </a:xfrm>
                  <a:prstGeom prst="rect">
                    <a:avLst/>
                  </a:prstGeom>
                </pic:spPr>
              </pic:pic>
            </a:graphicData>
          </a:graphic>
        </wp:inline>
      </w:drawing>
    </w:r>
  </w:p>
  <w:p w:rsidR="005419D4" w:rsidRDefault="005419D4" w:rsidP="00B0765D">
    <w:pPr>
      <w:pStyle w:val="Header"/>
      <w:jc w:val="center"/>
    </w:pPr>
    <w:r>
      <w:rPr>
        <w:noProof/>
      </w:rPr>
      <w:drawing>
        <wp:inline distT="0" distB="0" distL="0" distR="0" wp14:anchorId="1599F0A6" wp14:editId="4DB1CEF2">
          <wp:extent cx="1250148" cy="8640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ries.jpg"/>
                  <pic:cNvPicPr/>
                </pic:nvPicPr>
                <pic:blipFill>
                  <a:blip r:embed="rId2">
                    <a:extLst>
                      <a:ext uri="{28A0092B-C50C-407E-A947-70E740481C1C}">
                        <a14:useLocalDpi xmlns:a14="http://schemas.microsoft.com/office/drawing/2010/main" val="0"/>
                      </a:ext>
                    </a:extLst>
                  </a:blip>
                  <a:stretch>
                    <a:fillRect/>
                  </a:stretch>
                </pic:blipFill>
                <pic:spPr>
                  <a:xfrm>
                    <a:off x="0" y="0"/>
                    <a:ext cx="1250148" cy="864000"/>
                  </a:xfrm>
                  <a:prstGeom prst="rect">
                    <a:avLst/>
                  </a:prstGeom>
                </pic:spPr>
              </pic:pic>
            </a:graphicData>
          </a:graphic>
        </wp:inline>
      </w:drawing>
    </w:r>
    <w:r>
      <w:rPr>
        <w:noProof/>
      </w:rPr>
      <w:drawing>
        <wp:inline distT="0" distB="0" distL="0" distR="0" wp14:anchorId="395CEE0F" wp14:editId="3D258E9D">
          <wp:extent cx="1306056" cy="8640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cop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06056" cy="864000"/>
                  </a:xfrm>
                  <a:prstGeom prst="rect">
                    <a:avLst/>
                  </a:prstGeom>
                </pic:spPr>
              </pic:pic>
            </a:graphicData>
          </a:graphic>
        </wp:inline>
      </w:drawing>
    </w:r>
    <w:r>
      <w:rPr>
        <w:noProof/>
      </w:rPr>
      <w:drawing>
        <wp:inline distT="0" distB="0" distL="0" distR="0" wp14:anchorId="64DCFCB7" wp14:editId="0CD7F6F6">
          <wp:extent cx="1301917" cy="8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_2790480_vitamins_gel_pills.JPG"/>
                  <pic:cNvPicPr/>
                </pic:nvPicPr>
                <pic:blipFill>
                  <a:blip r:embed="rId4">
                    <a:extLst>
                      <a:ext uri="{28A0092B-C50C-407E-A947-70E740481C1C}">
                        <a14:useLocalDpi xmlns:a14="http://schemas.microsoft.com/office/drawing/2010/main" val="0"/>
                      </a:ext>
                    </a:extLst>
                  </a:blip>
                  <a:stretch>
                    <a:fillRect/>
                  </a:stretch>
                </pic:blipFill>
                <pic:spPr>
                  <a:xfrm>
                    <a:off x="0" y="0"/>
                    <a:ext cx="1301917" cy="864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705BC"/>
    <w:multiLevelType w:val="hybridMultilevel"/>
    <w:tmpl w:val="4F722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807C6D"/>
    <w:multiLevelType w:val="hybridMultilevel"/>
    <w:tmpl w:val="B1F46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881305"/>
    <w:multiLevelType w:val="hybridMultilevel"/>
    <w:tmpl w:val="EF181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F12A33"/>
    <w:multiLevelType w:val="hybridMultilevel"/>
    <w:tmpl w:val="4530B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FD6C28"/>
    <w:multiLevelType w:val="hybridMultilevel"/>
    <w:tmpl w:val="1F008DB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19BD0A85"/>
    <w:multiLevelType w:val="hybridMultilevel"/>
    <w:tmpl w:val="FEFEF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D562D01"/>
    <w:multiLevelType w:val="multilevel"/>
    <w:tmpl w:val="8C1C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8436FA"/>
    <w:multiLevelType w:val="hybridMultilevel"/>
    <w:tmpl w:val="6324E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2776748"/>
    <w:multiLevelType w:val="multilevel"/>
    <w:tmpl w:val="AF0C0B7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754E9C"/>
    <w:multiLevelType w:val="hybridMultilevel"/>
    <w:tmpl w:val="D8A83748"/>
    <w:lvl w:ilvl="0" w:tplc="3C40D8F8">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30450202"/>
    <w:multiLevelType w:val="hybridMultilevel"/>
    <w:tmpl w:val="838AA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20F37A8"/>
    <w:multiLevelType w:val="hybridMultilevel"/>
    <w:tmpl w:val="E32E0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29B2196"/>
    <w:multiLevelType w:val="hybridMultilevel"/>
    <w:tmpl w:val="05D05BC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3C70AAA"/>
    <w:multiLevelType w:val="hybridMultilevel"/>
    <w:tmpl w:val="A1F011C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nsid w:val="3AD77932"/>
    <w:multiLevelType w:val="hybridMultilevel"/>
    <w:tmpl w:val="EFF04D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D4F5088"/>
    <w:multiLevelType w:val="hybridMultilevel"/>
    <w:tmpl w:val="7A1AB28C"/>
    <w:lvl w:ilvl="0" w:tplc="117E6336">
      <w:start w:val="1"/>
      <w:numFmt w:val="decimal"/>
      <w:lvlText w:val="%1."/>
      <w:lvlJc w:val="left"/>
      <w:pPr>
        <w:ind w:left="720" w:hanging="360"/>
      </w:pPr>
      <w:rPr>
        <w:rFonts w:hint="default"/>
        <w:b w:val="0"/>
      </w:rPr>
    </w:lvl>
    <w:lvl w:ilvl="1" w:tplc="32FAFA5E">
      <w:numFmt w:val="bullet"/>
      <w:lvlText w:val="-"/>
      <w:lvlJc w:val="left"/>
      <w:pPr>
        <w:ind w:left="1440" w:hanging="360"/>
      </w:pPr>
      <w:rPr>
        <w:rFonts w:ascii="Arial Narrow" w:eastAsiaTheme="minorEastAsia" w:hAnsi="Arial Narrow"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5411F5F"/>
    <w:multiLevelType w:val="multilevel"/>
    <w:tmpl w:val="6D2E0B7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nsid w:val="4811066F"/>
    <w:multiLevelType w:val="hybridMultilevel"/>
    <w:tmpl w:val="0A104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D3C3C88"/>
    <w:multiLevelType w:val="hybridMultilevel"/>
    <w:tmpl w:val="97EE03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78136CE"/>
    <w:multiLevelType w:val="hybridMultilevel"/>
    <w:tmpl w:val="540497C4"/>
    <w:lvl w:ilvl="0" w:tplc="0C09000D">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nsid w:val="57AD6010"/>
    <w:multiLevelType w:val="hybridMultilevel"/>
    <w:tmpl w:val="36F4B870"/>
    <w:lvl w:ilvl="0" w:tplc="40AED200">
      <w:start w:val="1"/>
      <w:numFmt w:val="decimal"/>
      <w:lvlText w:val="%1."/>
      <w:lvlJc w:val="left"/>
      <w:pPr>
        <w:ind w:left="720" w:hanging="360"/>
      </w:pPr>
      <w:rPr>
        <w:rFonts w:hint="default"/>
        <w:b/>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A2C23AF"/>
    <w:multiLevelType w:val="hybridMultilevel"/>
    <w:tmpl w:val="72EAF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AD4390F"/>
    <w:multiLevelType w:val="hybridMultilevel"/>
    <w:tmpl w:val="267015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nsid w:val="5B00506B"/>
    <w:multiLevelType w:val="multilevel"/>
    <w:tmpl w:val="7FDC9366"/>
    <w:lvl w:ilvl="0">
      <w:start w:val="3"/>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4">
    <w:nsid w:val="5CC40F1D"/>
    <w:multiLevelType w:val="hybridMultilevel"/>
    <w:tmpl w:val="07049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D624363"/>
    <w:multiLevelType w:val="hybridMultilevel"/>
    <w:tmpl w:val="DBD2B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E15192E"/>
    <w:multiLevelType w:val="hybridMultilevel"/>
    <w:tmpl w:val="426236DC"/>
    <w:lvl w:ilvl="0" w:tplc="59AEF6D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25C2318"/>
    <w:multiLevelType w:val="multilevel"/>
    <w:tmpl w:val="7B4A401C"/>
    <w:lvl w:ilvl="0">
      <w:start w:val="1"/>
      <w:numFmt w:val="decimal"/>
      <w:pStyle w:val="Heading1"/>
      <w:lvlText w:val="%1."/>
      <w:lvlJc w:val="left"/>
      <w:pPr>
        <w:ind w:left="928" w:hanging="360"/>
      </w:pPr>
      <w:rPr>
        <w:rFonts w:hint="default"/>
        <w:b/>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8">
    <w:nsid w:val="6F154D53"/>
    <w:multiLevelType w:val="hybridMultilevel"/>
    <w:tmpl w:val="586C9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0E25D01"/>
    <w:multiLevelType w:val="hybridMultilevel"/>
    <w:tmpl w:val="0A8633E0"/>
    <w:lvl w:ilvl="0" w:tplc="C3447FF4">
      <w:start w:val="1"/>
      <w:numFmt w:val="bullet"/>
      <w:pStyle w:val="WendyList"/>
      <w:lvlText w:val=""/>
      <w:lvlJc w:val="left"/>
      <w:pPr>
        <w:ind w:left="720" w:hanging="360"/>
      </w:pPr>
      <w:rPr>
        <w:rFonts w:ascii="Symbol" w:hAnsi="Symbol" w:hint="default"/>
      </w:rPr>
    </w:lvl>
    <w:lvl w:ilvl="1" w:tplc="C8308480">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12443E4"/>
    <w:multiLevelType w:val="hybridMultilevel"/>
    <w:tmpl w:val="71182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1730844"/>
    <w:multiLevelType w:val="hybridMultilevel"/>
    <w:tmpl w:val="B212E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33F052C"/>
    <w:multiLevelType w:val="hybridMultilevel"/>
    <w:tmpl w:val="0302A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4CD27CB"/>
    <w:multiLevelType w:val="hybridMultilevel"/>
    <w:tmpl w:val="F85EDD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5DC4697"/>
    <w:multiLevelType w:val="hybridMultilevel"/>
    <w:tmpl w:val="92C2B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EC76CF0"/>
    <w:multiLevelType w:val="hybridMultilevel"/>
    <w:tmpl w:val="9A343D2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27"/>
  </w:num>
  <w:num w:numId="2">
    <w:abstractNumId w:val="2"/>
  </w:num>
  <w:num w:numId="3">
    <w:abstractNumId w:val="34"/>
  </w:num>
  <w:num w:numId="4">
    <w:abstractNumId w:val="18"/>
  </w:num>
  <w:num w:numId="5">
    <w:abstractNumId w:val="12"/>
  </w:num>
  <w:num w:numId="6">
    <w:abstractNumId w:val="13"/>
  </w:num>
  <w:num w:numId="7">
    <w:abstractNumId w:val="4"/>
  </w:num>
  <w:num w:numId="8">
    <w:abstractNumId w:val="22"/>
  </w:num>
  <w:num w:numId="9">
    <w:abstractNumId w:val="7"/>
  </w:num>
  <w:num w:numId="10">
    <w:abstractNumId w:val="16"/>
  </w:num>
  <w:num w:numId="11">
    <w:abstractNumId w:val="33"/>
  </w:num>
  <w:num w:numId="12">
    <w:abstractNumId w:val="15"/>
  </w:num>
  <w:num w:numId="13">
    <w:abstractNumId w:val="10"/>
  </w:num>
  <w:num w:numId="14">
    <w:abstractNumId w:val="20"/>
  </w:num>
  <w:num w:numId="15">
    <w:abstractNumId w:val="35"/>
  </w:num>
  <w:num w:numId="16">
    <w:abstractNumId w:val="23"/>
  </w:num>
  <w:num w:numId="17">
    <w:abstractNumId w:val="9"/>
  </w:num>
  <w:num w:numId="18">
    <w:abstractNumId w:val="11"/>
  </w:num>
  <w:num w:numId="19">
    <w:abstractNumId w:val="29"/>
  </w:num>
  <w:num w:numId="20">
    <w:abstractNumId w:val="8"/>
  </w:num>
  <w:num w:numId="21">
    <w:abstractNumId w:val="31"/>
  </w:num>
  <w:num w:numId="22">
    <w:abstractNumId w:val="25"/>
  </w:num>
  <w:num w:numId="23">
    <w:abstractNumId w:val="0"/>
  </w:num>
  <w:num w:numId="24">
    <w:abstractNumId w:val="3"/>
  </w:num>
  <w:num w:numId="25">
    <w:abstractNumId w:val="30"/>
  </w:num>
  <w:num w:numId="26">
    <w:abstractNumId w:val="28"/>
  </w:num>
  <w:num w:numId="27">
    <w:abstractNumId w:val="26"/>
  </w:num>
  <w:num w:numId="28">
    <w:abstractNumId w:val="19"/>
  </w:num>
  <w:num w:numId="29">
    <w:abstractNumId w:val="6"/>
  </w:num>
  <w:num w:numId="30">
    <w:abstractNumId w:val="5"/>
  </w:num>
  <w:num w:numId="31">
    <w:abstractNumId w:val="21"/>
  </w:num>
  <w:num w:numId="32">
    <w:abstractNumId w:val="14"/>
  </w:num>
  <w:num w:numId="33">
    <w:abstractNumId w:val="17"/>
  </w:num>
  <w:num w:numId="34">
    <w:abstractNumId w:val="24"/>
  </w:num>
  <w:num w:numId="35">
    <w:abstractNumId w:val="32"/>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7F1"/>
    <w:rsid w:val="00000BBB"/>
    <w:rsid w:val="0000171F"/>
    <w:rsid w:val="0000251B"/>
    <w:rsid w:val="00004A40"/>
    <w:rsid w:val="00006555"/>
    <w:rsid w:val="00011192"/>
    <w:rsid w:val="00011476"/>
    <w:rsid w:val="00012875"/>
    <w:rsid w:val="00013682"/>
    <w:rsid w:val="000140C3"/>
    <w:rsid w:val="000176A8"/>
    <w:rsid w:val="0002249B"/>
    <w:rsid w:val="000227AA"/>
    <w:rsid w:val="000229A0"/>
    <w:rsid w:val="00023272"/>
    <w:rsid w:val="00025671"/>
    <w:rsid w:val="000306AE"/>
    <w:rsid w:val="00032B60"/>
    <w:rsid w:val="00032F8E"/>
    <w:rsid w:val="000356B1"/>
    <w:rsid w:val="00036FC4"/>
    <w:rsid w:val="00037A06"/>
    <w:rsid w:val="00037B2F"/>
    <w:rsid w:val="00040C2C"/>
    <w:rsid w:val="0004767C"/>
    <w:rsid w:val="00050503"/>
    <w:rsid w:val="00052554"/>
    <w:rsid w:val="00056D04"/>
    <w:rsid w:val="0005701A"/>
    <w:rsid w:val="00060D35"/>
    <w:rsid w:val="00061B73"/>
    <w:rsid w:val="00063B5E"/>
    <w:rsid w:val="0006574E"/>
    <w:rsid w:val="00070FA8"/>
    <w:rsid w:val="000727F0"/>
    <w:rsid w:val="00074845"/>
    <w:rsid w:val="0008078F"/>
    <w:rsid w:val="0008138D"/>
    <w:rsid w:val="0008174A"/>
    <w:rsid w:val="0008393E"/>
    <w:rsid w:val="00092952"/>
    <w:rsid w:val="000A0CBA"/>
    <w:rsid w:val="000A186B"/>
    <w:rsid w:val="000A1D8A"/>
    <w:rsid w:val="000A56E5"/>
    <w:rsid w:val="000A68E2"/>
    <w:rsid w:val="000A7488"/>
    <w:rsid w:val="000B3739"/>
    <w:rsid w:val="000B4A46"/>
    <w:rsid w:val="000B6EF3"/>
    <w:rsid w:val="000C0261"/>
    <w:rsid w:val="000C0CDA"/>
    <w:rsid w:val="000C10AB"/>
    <w:rsid w:val="000C478B"/>
    <w:rsid w:val="000C59CB"/>
    <w:rsid w:val="000D086D"/>
    <w:rsid w:val="000D095F"/>
    <w:rsid w:val="000D7624"/>
    <w:rsid w:val="000E04AA"/>
    <w:rsid w:val="000E2FC6"/>
    <w:rsid w:val="000E3842"/>
    <w:rsid w:val="000E570F"/>
    <w:rsid w:val="000E57F1"/>
    <w:rsid w:val="000F02F8"/>
    <w:rsid w:val="000F3557"/>
    <w:rsid w:val="000F36F7"/>
    <w:rsid w:val="000F6BAC"/>
    <w:rsid w:val="001039C6"/>
    <w:rsid w:val="00106992"/>
    <w:rsid w:val="00106A15"/>
    <w:rsid w:val="001071FD"/>
    <w:rsid w:val="00113F34"/>
    <w:rsid w:val="00114132"/>
    <w:rsid w:val="0011525E"/>
    <w:rsid w:val="001159FB"/>
    <w:rsid w:val="0011613D"/>
    <w:rsid w:val="00116DBF"/>
    <w:rsid w:val="00117465"/>
    <w:rsid w:val="00121C99"/>
    <w:rsid w:val="00122F57"/>
    <w:rsid w:val="00123BAA"/>
    <w:rsid w:val="00124B15"/>
    <w:rsid w:val="001277F0"/>
    <w:rsid w:val="00127DC6"/>
    <w:rsid w:val="0013073D"/>
    <w:rsid w:val="00131E02"/>
    <w:rsid w:val="001353E7"/>
    <w:rsid w:val="001374E6"/>
    <w:rsid w:val="00141DDB"/>
    <w:rsid w:val="00143C35"/>
    <w:rsid w:val="001509E7"/>
    <w:rsid w:val="00150F0D"/>
    <w:rsid w:val="00151D76"/>
    <w:rsid w:val="0015240C"/>
    <w:rsid w:val="0015354B"/>
    <w:rsid w:val="00155069"/>
    <w:rsid w:val="001575CD"/>
    <w:rsid w:val="00157DD0"/>
    <w:rsid w:val="00162973"/>
    <w:rsid w:val="00163BD7"/>
    <w:rsid w:val="00164722"/>
    <w:rsid w:val="00165C91"/>
    <w:rsid w:val="00167393"/>
    <w:rsid w:val="00181918"/>
    <w:rsid w:val="0018275F"/>
    <w:rsid w:val="00182BFB"/>
    <w:rsid w:val="00182F73"/>
    <w:rsid w:val="0018300A"/>
    <w:rsid w:val="00184DF4"/>
    <w:rsid w:val="00185135"/>
    <w:rsid w:val="00187031"/>
    <w:rsid w:val="001870EC"/>
    <w:rsid w:val="001918DC"/>
    <w:rsid w:val="00193018"/>
    <w:rsid w:val="00193B5C"/>
    <w:rsid w:val="00193FF2"/>
    <w:rsid w:val="00194B6E"/>
    <w:rsid w:val="0019534F"/>
    <w:rsid w:val="00195995"/>
    <w:rsid w:val="001A5278"/>
    <w:rsid w:val="001A5295"/>
    <w:rsid w:val="001A756D"/>
    <w:rsid w:val="001A7620"/>
    <w:rsid w:val="001B2931"/>
    <w:rsid w:val="001B3269"/>
    <w:rsid w:val="001B794C"/>
    <w:rsid w:val="001B7AA8"/>
    <w:rsid w:val="001B7B15"/>
    <w:rsid w:val="001C008F"/>
    <w:rsid w:val="001C1D9F"/>
    <w:rsid w:val="001C3741"/>
    <w:rsid w:val="001D051E"/>
    <w:rsid w:val="001D18FE"/>
    <w:rsid w:val="001D2974"/>
    <w:rsid w:val="001D3E9E"/>
    <w:rsid w:val="001D4F2B"/>
    <w:rsid w:val="001D6318"/>
    <w:rsid w:val="001E5B0A"/>
    <w:rsid w:val="001E7478"/>
    <w:rsid w:val="001E7B79"/>
    <w:rsid w:val="001F07FC"/>
    <w:rsid w:val="001F2D1D"/>
    <w:rsid w:val="001F3B5E"/>
    <w:rsid w:val="001F3F8C"/>
    <w:rsid w:val="001F538B"/>
    <w:rsid w:val="001F6123"/>
    <w:rsid w:val="002019F2"/>
    <w:rsid w:val="00202F94"/>
    <w:rsid w:val="0020765C"/>
    <w:rsid w:val="00215D11"/>
    <w:rsid w:val="00216AC4"/>
    <w:rsid w:val="0022055D"/>
    <w:rsid w:val="002208D0"/>
    <w:rsid w:val="002213A7"/>
    <w:rsid w:val="00221DCB"/>
    <w:rsid w:val="00221E56"/>
    <w:rsid w:val="00224B2F"/>
    <w:rsid w:val="002254E0"/>
    <w:rsid w:val="00225621"/>
    <w:rsid w:val="00225750"/>
    <w:rsid w:val="002259AC"/>
    <w:rsid w:val="00232757"/>
    <w:rsid w:val="00232A6C"/>
    <w:rsid w:val="00240FB0"/>
    <w:rsid w:val="002428A4"/>
    <w:rsid w:val="00244F13"/>
    <w:rsid w:val="00246D49"/>
    <w:rsid w:val="00251EF8"/>
    <w:rsid w:val="00252AA9"/>
    <w:rsid w:val="00252C63"/>
    <w:rsid w:val="0025776E"/>
    <w:rsid w:val="00264454"/>
    <w:rsid w:val="00264514"/>
    <w:rsid w:val="0026509C"/>
    <w:rsid w:val="00267D42"/>
    <w:rsid w:val="00271833"/>
    <w:rsid w:val="0028216F"/>
    <w:rsid w:val="00282246"/>
    <w:rsid w:val="002901B0"/>
    <w:rsid w:val="00290508"/>
    <w:rsid w:val="00293145"/>
    <w:rsid w:val="002934F5"/>
    <w:rsid w:val="00293E76"/>
    <w:rsid w:val="00296B46"/>
    <w:rsid w:val="00297212"/>
    <w:rsid w:val="002A08EF"/>
    <w:rsid w:val="002A1DFF"/>
    <w:rsid w:val="002A23CE"/>
    <w:rsid w:val="002A2AE6"/>
    <w:rsid w:val="002A349D"/>
    <w:rsid w:val="002A3D99"/>
    <w:rsid w:val="002A589E"/>
    <w:rsid w:val="002B3306"/>
    <w:rsid w:val="002B34E4"/>
    <w:rsid w:val="002B4E51"/>
    <w:rsid w:val="002B7328"/>
    <w:rsid w:val="002B77DC"/>
    <w:rsid w:val="002C25C4"/>
    <w:rsid w:val="002C411A"/>
    <w:rsid w:val="002C448B"/>
    <w:rsid w:val="002C54F9"/>
    <w:rsid w:val="002C7EF4"/>
    <w:rsid w:val="002D0353"/>
    <w:rsid w:val="002D17BA"/>
    <w:rsid w:val="002D2467"/>
    <w:rsid w:val="002D63D1"/>
    <w:rsid w:val="002E05DF"/>
    <w:rsid w:val="002E10BE"/>
    <w:rsid w:val="002E1E47"/>
    <w:rsid w:val="002E222B"/>
    <w:rsid w:val="002E3E93"/>
    <w:rsid w:val="002E40B7"/>
    <w:rsid w:val="002E623A"/>
    <w:rsid w:val="002F07DE"/>
    <w:rsid w:val="002F235D"/>
    <w:rsid w:val="002F5C2E"/>
    <w:rsid w:val="002F799B"/>
    <w:rsid w:val="00302040"/>
    <w:rsid w:val="003025AE"/>
    <w:rsid w:val="00305909"/>
    <w:rsid w:val="0031040C"/>
    <w:rsid w:val="00311417"/>
    <w:rsid w:val="00313BE4"/>
    <w:rsid w:val="00314FED"/>
    <w:rsid w:val="003162AB"/>
    <w:rsid w:val="00320220"/>
    <w:rsid w:val="0032083F"/>
    <w:rsid w:val="00321C35"/>
    <w:rsid w:val="00322C57"/>
    <w:rsid w:val="00322D64"/>
    <w:rsid w:val="00324ADC"/>
    <w:rsid w:val="00326FD3"/>
    <w:rsid w:val="00330A28"/>
    <w:rsid w:val="00331582"/>
    <w:rsid w:val="0033176E"/>
    <w:rsid w:val="00331D16"/>
    <w:rsid w:val="00334B2B"/>
    <w:rsid w:val="003356C1"/>
    <w:rsid w:val="00335A4D"/>
    <w:rsid w:val="0033683A"/>
    <w:rsid w:val="00337FAB"/>
    <w:rsid w:val="003413A9"/>
    <w:rsid w:val="00344506"/>
    <w:rsid w:val="00353481"/>
    <w:rsid w:val="00353ABC"/>
    <w:rsid w:val="00357028"/>
    <w:rsid w:val="0035726E"/>
    <w:rsid w:val="00360703"/>
    <w:rsid w:val="003607F4"/>
    <w:rsid w:val="00360A8E"/>
    <w:rsid w:val="00361A9B"/>
    <w:rsid w:val="00362B1E"/>
    <w:rsid w:val="003640BB"/>
    <w:rsid w:val="00365FBA"/>
    <w:rsid w:val="00366325"/>
    <w:rsid w:val="0036666C"/>
    <w:rsid w:val="00371707"/>
    <w:rsid w:val="003731D6"/>
    <w:rsid w:val="00376818"/>
    <w:rsid w:val="00381E59"/>
    <w:rsid w:val="00382198"/>
    <w:rsid w:val="003827DA"/>
    <w:rsid w:val="003828E5"/>
    <w:rsid w:val="00386299"/>
    <w:rsid w:val="003873E1"/>
    <w:rsid w:val="003873EA"/>
    <w:rsid w:val="003916B0"/>
    <w:rsid w:val="0039320D"/>
    <w:rsid w:val="00395114"/>
    <w:rsid w:val="00396A98"/>
    <w:rsid w:val="003A19B0"/>
    <w:rsid w:val="003A32C0"/>
    <w:rsid w:val="003A4A12"/>
    <w:rsid w:val="003B3A6C"/>
    <w:rsid w:val="003B3E97"/>
    <w:rsid w:val="003C0964"/>
    <w:rsid w:val="003C23AD"/>
    <w:rsid w:val="003C3051"/>
    <w:rsid w:val="003C32AD"/>
    <w:rsid w:val="003D2E39"/>
    <w:rsid w:val="003D43F0"/>
    <w:rsid w:val="003D5037"/>
    <w:rsid w:val="003D61D5"/>
    <w:rsid w:val="003D7F1D"/>
    <w:rsid w:val="003E15F2"/>
    <w:rsid w:val="003E2868"/>
    <w:rsid w:val="003E3BFA"/>
    <w:rsid w:val="003E7E4F"/>
    <w:rsid w:val="00404672"/>
    <w:rsid w:val="0040665E"/>
    <w:rsid w:val="00410122"/>
    <w:rsid w:val="004116F8"/>
    <w:rsid w:val="00411BC5"/>
    <w:rsid w:val="00411FC4"/>
    <w:rsid w:val="004138F2"/>
    <w:rsid w:val="00415E20"/>
    <w:rsid w:val="00416A96"/>
    <w:rsid w:val="00420107"/>
    <w:rsid w:val="00420255"/>
    <w:rsid w:val="00421225"/>
    <w:rsid w:val="0042351A"/>
    <w:rsid w:val="00423B44"/>
    <w:rsid w:val="0042430D"/>
    <w:rsid w:val="00424B3A"/>
    <w:rsid w:val="00424BB2"/>
    <w:rsid w:val="00425224"/>
    <w:rsid w:val="00426F07"/>
    <w:rsid w:val="004346C9"/>
    <w:rsid w:val="00440F72"/>
    <w:rsid w:val="00441B12"/>
    <w:rsid w:val="004425D7"/>
    <w:rsid w:val="00442647"/>
    <w:rsid w:val="0044554F"/>
    <w:rsid w:val="004471A8"/>
    <w:rsid w:val="00450BE6"/>
    <w:rsid w:val="00451033"/>
    <w:rsid w:val="00452ABE"/>
    <w:rsid w:val="00452AFA"/>
    <w:rsid w:val="00454E55"/>
    <w:rsid w:val="0046041C"/>
    <w:rsid w:val="00460729"/>
    <w:rsid w:val="004620AE"/>
    <w:rsid w:val="00462FF4"/>
    <w:rsid w:val="00463C2B"/>
    <w:rsid w:val="00465E75"/>
    <w:rsid w:val="00466245"/>
    <w:rsid w:val="004705EC"/>
    <w:rsid w:val="0047093A"/>
    <w:rsid w:val="00471E64"/>
    <w:rsid w:val="004739C9"/>
    <w:rsid w:val="004846A0"/>
    <w:rsid w:val="004846FC"/>
    <w:rsid w:val="00486CDF"/>
    <w:rsid w:val="00490199"/>
    <w:rsid w:val="00491142"/>
    <w:rsid w:val="004923F6"/>
    <w:rsid w:val="0049453B"/>
    <w:rsid w:val="00496668"/>
    <w:rsid w:val="004A034C"/>
    <w:rsid w:val="004A3B03"/>
    <w:rsid w:val="004B33C4"/>
    <w:rsid w:val="004B689C"/>
    <w:rsid w:val="004C05E5"/>
    <w:rsid w:val="004C2B1F"/>
    <w:rsid w:val="004C4EC1"/>
    <w:rsid w:val="004C73B5"/>
    <w:rsid w:val="004D316F"/>
    <w:rsid w:val="004D3E08"/>
    <w:rsid w:val="004D4174"/>
    <w:rsid w:val="004E1BE8"/>
    <w:rsid w:val="004E29CD"/>
    <w:rsid w:val="004E7258"/>
    <w:rsid w:val="004E7CE3"/>
    <w:rsid w:val="004F0C27"/>
    <w:rsid w:val="004F1CD0"/>
    <w:rsid w:val="004F2129"/>
    <w:rsid w:val="004F2C31"/>
    <w:rsid w:val="004F3235"/>
    <w:rsid w:val="004F418B"/>
    <w:rsid w:val="00503ED2"/>
    <w:rsid w:val="005113A0"/>
    <w:rsid w:val="00512087"/>
    <w:rsid w:val="005168D5"/>
    <w:rsid w:val="0051784D"/>
    <w:rsid w:val="00522E02"/>
    <w:rsid w:val="00525B59"/>
    <w:rsid w:val="00532CDD"/>
    <w:rsid w:val="00537C23"/>
    <w:rsid w:val="005413E9"/>
    <w:rsid w:val="005419D4"/>
    <w:rsid w:val="00547CD5"/>
    <w:rsid w:val="00547D53"/>
    <w:rsid w:val="00552792"/>
    <w:rsid w:val="00552C36"/>
    <w:rsid w:val="00557EE9"/>
    <w:rsid w:val="005606AE"/>
    <w:rsid w:val="005655D9"/>
    <w:rsid w:val="00570452"/>
    <w:rsid w:val="00573671"/>
    <w:rsid w:val="005752BF"/>
    <w:rsid w:val="00576A06"/>
    <w:rsid w:val="00576B64"/>
    <w:rsid w:val="00580273"/>
    <w:rsid w:val="005851C3"/>
    <w:rsid w:val="005854D5"/>
    <w:rsid w:val="00590665"/>
    <w:rsid w:val="005920BE"/>
    <w:rsid w:val="005941AD"/>
    <w:rsid w:val="00595A4F"/>
    <w:rsid w:val="005963DC"/>
    <w:rsid w:val="00596CC1"/>
    <w:rsid w:val="00597ACF"/>
    <w:rsid w:val="005A248B"/>
    <w:rsid w:val="005B3DAE"/>
    <w:rsid w:val="005B4D66"/>
    <w:rsid w:val="005C0719"/>
    <w:rsid w:val="005C399A"/>
    <w:rsid w:val="005C440D"/>
    <w:rsid w:val="005C49EC"/>
    <w:rsid w:val="005C5CF3"/>
    <w:rsid w:val="005C69A8"/>
    <w:rsid w:val="005D2260"/>
    <w:rsid w:val="005D6CDA"/>
    <w:rsid w:val="005E1ACA"/>
    <w:rsid w:val="005E26E2"/>
    <w:rsid w:val="005F191F"/>
    <w:rsid w:val="005F1E73"/>
    <w:rsid w:val="005F556F"/>
    <w:rsid w:val="005F6F32"/>
    <w:rsid w:val="005F7F46"/>
    <w:rsid w:val="00600BA6"/>
    <w:rsid w:val="00602D98"/>
    <w:rsid w:val="0060443F"/>
    <w:rsid w:val="0060799E"/>
    <w:rsid w:val="00610C14"/>
    <w:rsid w:val="0061153F"/>
    <w:rsid w:val="00612A9B"/>
    <w:rsid w:val="0061308A"/>
    <w:rsid w:val="00615689"/>
    <w:rsid w:val="0062342A"/>
    <w:rsid w:val="0062394C"/>
    <w:rsid w:val="00624AA5"/>
    <w:rsid w:val="00630777"/>
    <w:rsid w:val="00634914"/>
    <w:rsid w:val="006365D7"/>
    <w:rsid w:val="00636C8E"/>
    <w:rsid w:val="00637AF2"/>
    <w:rsid w:val="006439B7"/>
    <w:rsid w:val="00652500"/>
    <w:rsid w:val="006557E7"/>
    <w:rsid w:val="00667212"/>
    <w:rsid w:val="00673B16"/>
    <w:rsid w:val="00673DA7"/>
    <w:rsid w:val="00674326"/>
    <w:rsid w:val="00676875"/>
    <w:rsid w:val="00677BB6"/>
    <w:rsid w:val="00677EB1"/>
    <w:rsid w:val="006823A7"/>
    <w:rsid w:val="006868BE"/>
    <w:rsid w:val="00686ABC"/>
    <w:rsid w:val="00686B1C"/>
    <w:rsid w:val="0069065A"/>
    <w:rsid w:val="0069241C"/>
    <w:rsid w:val="0069310C"/>
    <w:rsid w:val="0069630C"/>
    <w:rsid w:val="006A1CC9"/>
    <w:rsid w:val="006A2F08"/>
    <w:rsid w:val="006A37B2"/>
    <w:rsid w:val="006A6704"/>
    <w:rsid w:val="006B5224"/>
    <w:rsid w:val="006C24F0"/>
    <w:rsid w:val="006C54B8"/>
    <w:rsid w:val="006C72D6"/>
    <w:rsid w:val="006D6FB7"/>
    <w:rsid w:val="006D72ED"/>
    <w:rsid w:val="006D7D75"/>
    <w:rsid w:val="006E1C0E"/>
    <w:rsid w:val="006E5549"/>
    <w:rsid w:val="006E7DBA"/>
    <w:rsid w:val="006E7EDF"/>
    <w:rsid w:val="006F0F20"/>
    <w:rsid w:val="006F4958"/>
    <w:rsid w:val="006F60E6"/>
    <w:rsid w:val="006F6DE3"/>
    <w:rsid w:val="007003C4"/>
    <w:rsid w:val="007029A0"/>
    <w:rsid w:val="00703B98"/>
    <w:rsid w:val="0070537F"/>
    <w:rsid w:val="0070575F"/>
    <w:rsid w:val="0071449B"/>
    <w:rsid w:val="00715D01"/>
    <w:rsid w:val="00717FC0"/>
    <w:rsid w:val="007419C7"/>
    <w:rsid w:val="007420D0"/>
    <w:rsid w:val="0074253F"/>
    <w:rsid w:val="007427C6"/>
    <w:rsid w:val="00743176"/>
    <w:rsid w:val="007447C2"/>
    <w:rsid w:val="007523DB"/>
    <w:rsid w:val="007529A2"/>
    <w:rsid w:val="00753A14"/>
    <w:rsid w:val="007570CF"/>
    <w:rsid w:val="00760172"/>
    <w:rsid w:val="0076204F"/>
    <w:rsid w:val="007621D4"/>
    <w:rsid w:val="007649C0"/>
    <w:rsid w:val="007665D8"/>
    <w:rsid w:val="00766C8C"/>
    <w:rsid w:val="00773A97"/>
    <w:rsid w:val="0077484B"/>
    <w:rsid w:val="00774AB0"/>
    <w:rsid w:val="007750EB"/>
    <w:rsid w:val="0077659C"/>
    <w:rsid w:val="00776F31"/>
    <w:rsid w:val="00777BE9"/>
    <w:rsid w:val="00781650"/>
    <w:rsid w:val="00784DF5"/>
    <w:rsid w:val="00785C38"/>
    <w:rsid w:val="00787D22"/>
    <w:rsid w:val="00795F08"/>
    <w:rsid w:val="007A330A"/>
    <w:rsid w:val="007A390C"/>
    <w:rsid w:val="007A7CC7"/>
    <w:rsid w:val="007B00B2"/>
    <w:rsid w:val="007B7A89"/>
    <w:rsid w:val="007C1A39"/>
    <w:rsid w:val="007C3992"/>
    <w:rsid w:val="007C3CBD"/>
    <w:rsid w:val="007C471F"/>
    <w:rsid w:val="007C643D"/>
    <w:rsid w:val="007D0306"/>
    <w:rsid w:val="007D0B48"/>
    <w:rsid w:val="007D1410"/>
    <w:rsid w:val="007D2C86"/>
    <w:rsid w:val="007D3B07"/>
    <w:rsid w:val="007D6E7E"/>
    <w:rsid w:val="007D7848"/>
    <w:rsid w:val="007D7A12"/>
    <w:rsid w:val="007E0CB5"/>
    <w:rsid w:val="007E1355"/>
    <w:rsid w:val="007F2490"/>
    <w:rsid w:val="007F48F6"/>
    <w:rsid w:val="007F50EA"/>
    <w:rsid w:val="007F5E8B"/>
    <w:rsid w:val="0080359E"/>
    <w:rsid w:val="008115E5"/>
    <w:rsid w:val="00813E5D"/>
    <w:rsid w:val="00816216"/>
    <w:rsid w:val="0081671A"/>
    <w:rsid w:val="008173D2"/>
    <w:rsid w:val="00821989"/>
    <w:rsid w:val="00822658"/>
    <w:rsid w:val="00822E10"/>
    <w:rsid w:val="00823B37"/>
    <w:rsid w:val="00826390"/>
    <w:rsid w:val="008309D9"/>
    <w:rsid w:val="00835834"/>
    <w:rsid w:val="00835FA4"/>
    <w:rsid w:val="008422E7"/>
    <w:rsid w:val="00845FED"/>
    <w:rsid w:val="00846109"/>
    <w:rsid w:val="00847F0E"/>
    <w:rsid w:val="008503F8"/>
    <w:rsid w:val="008510E8"/>
    <w:rsid w:val="00854F8A"/>
    <w:rsid w:val="00856784"/>
    <w:rsid w:val="008602F7"/>
    <w:rsid w:val="00860632"/>
    <w:rsid w:val="00864BA6"/>
    <w:rsid w:val="008657E0"/>
    <w:rsid w:val="00865EEE"/>
    <w:rsid w:val="00872925"/>
    <w:rsid w:val="008732BC"/>
    <w:rsid w:val="008743DA"/>
    <w:rsid w:val="00875A0A"/>
    <w:rsid w:val="00880A86"/>
    <w:rsid w:val="00880FE3"/>
    <w:rsid w:val="00881E35"/>
    <w:rsid w:val="0088366B"/>
    <w:rsid w:val="00884178"/>
    <w:rsid w:val="00886BCC"/>
    <w:rsid w:val="0089132D"/>
    <w:rsid w:val="00894796"/>
    <w:rsid w:val="00897943"/>
    <w:rsid w:val="008A2487"/>
    <w:rsid w:val="008A3B0B"/>
    <w:rsid w:val="008A40AC"/>
    <w:rsid w:val="008A4588"/>
    <w:rsid w:val="008A670E"/>
    <w:rsid w:val="008A6B8A"/>
    <w:rsid w:val="008A703F"/>
    <w:rsid w:val="008B2181"/>
    <w:rsid w:val="008B26D6"/>
    <w:rsid w:val="008B41CB"/>
    <w:rsid w:val="008B7050"/>
    <w:rsid w:val="008C3CEE"/>
    <w:rsid w:val="008D1E20"/>
    <w:rsid w:val="008D3A1D"/>
    <w:rsid w:val="008D764B"/>
    <w:rsid w:val="008E3F6A"/>
    <w:rsid w:val="008E5D0F"/>
    <w:rsid w:val="008E6856"/>
    <w:rsid w:val="008E7DBC"/>
    <w:rsid w:val="008F2693"/>
    <w:rsid w:val="008F3D65"/>
    <w:rsid w:val="008F441C"/>
    <w:rsid w:val="008F5677"/>
    <w:rsid w:val="008F6428"/>
    <w:rsid w:val="008F67D9"/>
    <w:rsid w:val="0090262F"/>
    <w:rsid w:val="00904483"/>
    <w:rsid w:val="00912F94"/>
    <w:rsid w:val="0091303E"/>
    <w:rsid w:val="00915DD0"/>
    <w:rsid w:val="00923918"/>
    <w:rsid w:val="00933808"/>
    <w:rsid w:val="00934BCC"/>
    <w:rsid w:val="0093669B"/>
    <w:rsid w:val="00943188"/>
    <w:rsid w:val="0094338C"/>
    <w:rsid w:val="00947C29"/>
    <w:rsid w:val="00957099"/>
    <w:rsid w:val="009574FA"/>
    <w:rsid w:val="00961D94"/>
    <w:rsid w:val="009643FA"/>
    <w:rsid w:val="00964EC4"/>
    <w:rsid w:val="00970EB3"/>
    <w:rsid w:val="00983C67"/>
    <w:rsid w:val="00991E7F"/>
    <w:rsid w:val="00992E5A"/>
    <w:rsid w:val="00994F86"/>
    <w:rsid w:val="009A1010"/>
    <w:rsid w:val="009A1081"/>
    <w:rsid w:val="009A27F9"/>
    <w:rsid w:val="009A305F"/>
    <w:rsid w:val="009A32E0"/>
    <w:rsid w:val="009A5D9B"/>
    <w:rsid w:val="009A7511"/>
    <w:rsid w:val="009B47FB"/>
    <w:rsid w:val="009B66BD"/>
    <w:rsid w:val="009B69FD"/>
    <w:rsid w:val="009C0B03"/>
    <w:rsid w:val="009C41FC"/>
    <w:rsid w:val="009C4345"/>
    <w:rsid w:val="009C5019"/>
    <w:rsid w:val="009C7DBA"/>
    <w:rsid w:val="009D1E32"/>
    <w:rsid w:val="009D57A9"/>
    <w:rsid w:val="009D63EE"/>
    <w:rsid w:val="009E2FA2"/>
    <w:rsid w:val="009E5073"/>
    <w:rsid w:val="009E5E24"/>
    <w:rsid w:val="009E6CD5"/>
    <w:rsid w:val="009E7A1D"/>
    <w:rsid w:val="009F003A"/>
    <w:rsid w:val="009F0499"/>
    <w:rsid w:val="009F0720"/>
    <w:rsid w:val="009F0D27"/>
    <w:rsid w:val="009F3C3C"/>
    <w:rsid w:val="009F4AE4"/>
    <w:rsid w:val="009F5469"/>
    <w:rsid w:val="009F57AC"/>
    <w:rsid w:val="009F61E9"/>
    <w:rsid w:val="00A00F28"/>
    <w:rsid w:val="00A039FB"/>
    <w:rsid w:val="00A05AE2"/>
    <w:rsid w:val="00A05B75"/>
    <w:rsid w:val="00A12B16"/>
    <w:rsid w:val="00A1327C"/>
    <w:rsid w:val="00A14596"/>
    <w:rsid w:val="00A17E12"/>
    <w:rsid w:val="00A20A09"/>
    <w:rsid w:val="00A2145F"/>
    <w:rsid w:val="00A22FDE"/>
    <w:rsid w:val="00A24BF8"/>
    <w:rsid w:val="00A25F0C"/>
    <w:rsid w:val="00A26515"/>
    <w:rsid w:val="00A276D0"/>
    <w:rsid w:val="00A34C78"/>
    <w:rsid w:val="00A34D1E"/>
    <w:rsid w:val="00A36E99"/>
    <w:rsid w:val="00A37BC4"/>
    <w:rsid w:val="00A41A69"/>
    <w:rsid w:val="00A456A5"/>
    <w:rsid w:val="00A511AF"/>
    <w:rsid w:val="00A561D6"/>
    <w:rsid w:val="00A56E5B"/>
    <w:rsid w:val="00A6037B"/>
    <w:rsid w:val="00A61CEF"/>
    <w:rsid w:val="00A62B00"/>
    <w:rsid w:val="00A653CD"/>
    <w:rsid w:val="00A6588E"/>
    <w:rsid w:val="00A7101C"/>
    <w:rsid w:val="00A71A64"/>
    <w:rsid w:val="00A72B90"/>
    <w:rsid w:val="00A77A57"/>
    <w:rsid w:val="00A85C92"/>
    <w:rsid w:val="00A86479"/>
    <w:rsid w:val="00A87BCF"/>
    <w:rsid w:val="00A93DCE"/>
    <w:rsid w:val="00A94E18"/>
    <w:rsid w:val="00A95A3B"/>
    <w:rsid w:val="00A965EC"/>
    <w:rsid w:val="00AA0039"/>
    <w:rsid w:val="00AA2AE8"/>
    <w:rsid w:val="00AA3C62"/>
    <w:rsid w:val="00AA6EEB"/>
    <w:rsid w:val="00AB1740"/>
    <w:rsid w:val="00AB3B44"/>
    <w:rsid w:val="00AB456B"/>
    <w:rsid w:val="00AC249A"/>
    <w:rsid w:val="00AC3071"/>
    <w:rsid w:val="00AC47F5"/>
    <w:rsid w:val="00AC4EE3"/>
    <w:rsid w:val="00AC5B13"/>
    <w:rsid w:val="00AC6386"/>
    <w:rsid w:val="00AC7620"/>
    <w:rsid w:val="00AD09C8"/>
    <w:rsid w:val="00AD0CD2"/>
    <w:rsid w:val="00AD2391"/>
    <w:rsid w:val="00AD2425"/>
    <w:rsid w:val="00AD5847"/>
    <w:rsid w:val="00AD5BF0"/>
    <w:rsid w:val="00AD729E"/>
    <w:rsid w:val="00AE0041"/>
    <w:rsid w:val="00AE08AC"/>
    <w:rsid w:val="00AE1FAC"/>
    <w:rsid w:val="00AE2036"/>
    <w:rsid w:val="00AE416C"/>
    <w:rsid w:val="00AF235F"/>
    <w:rsid w:val="00AF2373"/>
    <w:rsid w:val="00AF4F56"/>
    <w:rsid w:val="00AF66D2"/>
    <w:rsid w:val="00B043CC"/>
    <w:rsid w:val="00B0765D"/>
    <w:rsid w:val="00B20E8D"/>
    <w:rsid w:val="00B2217E"/>
    <w:rsid w:val="00B23273"/>
    <w:rsid w:val="00B279CF"/>
    <w:rsid w:val="00B335DE"/>
    <w:rsid w:val="00B336CF"/>
    <w:rsid w:val="00B3446F"/>
    <w:rsid w:val="00B431A1"/>
    <w:rsid w:val="00B44085"/>
    <w:rsid w:val="00B44FEC"/>
    <w:rsid w:val="00B474B3"/>
    <w:rsid w:val="00B513FF"/>
    <w:rsid w:val="00B52D06"/>
    <w:rsid w:val="00B54D35"/>
    <w:rsid w:val="00B559E2"/>
    <w:rsid w:val="00B65FFA"/>
    <w:rsid w:val="00B73FE2"/>
    <w:rsid w:val="00B75C64"/>
    <w:rsid w:val="00B800B1"/>
    <w:rsid w:val="00B91035"/>
    <w:rsid w:val="00B953F8"/>
    <w:rsid w:val="00BA01B7"/>
    <w:rsid w:val="00BA0DA6"/>
    <w:rsid w:val="00BA4719"/>
    <w:rsid w:val="00BA50D4"/>
    <w:rsid w:val="00BA5A71"/>
    <w:rsid w:val="00BB0A5D"/>
    <w:rsid w:val="00BB164B"/>
    <w:rsid w:val="00BB3E50"/>
    <w:rsid w:val="00BB5258"/>
    <w:rsid w:val="00BB6C28"/>
    <w:rsid w:val="00BB7E8D"/>
    <w:rsid w:val="00BC22C9"/>
    <w:rsid w:val="00BC34B6"/>
    <w:rsid w:val="00BC3B9D"/>
    <w:rsid w:val="00BC49F7"/>
    <w:rsid w:val="00BC535F"/>
    <w:rsid w:val="00BC6014"/>
    <w:rsid w:val="00BD30F3"/>
    <w:rsid w:val="00BD4B8D"/>
    <w:rsid w:val="00BF07C7"/>
    <w:rsid w:val="00BF243F"/>
    <w:rsid w:val="00BF40BB"/>
    <w:rsid w:val="00BF69B5"/>
    <w:rsid w:val="00C01A33"/>
    <w:rsid w:val="00C01AD6"/>
    <w:rsid w:val="00C039C2"/>
    <w:rsid w:val="00C04AFE"/>
    <w:rsid w:val="00C04BA4"/>
    <w:rsid w:val="00C04C09"/>
    <w:rsid w:val="00C067FC"/>
    <w:rsid w:val="00C07B90"/>
    <w:rsid w:val="00C10FCA"/>
    <w:rsid w:val="00C11F11"/>
    <w:rsid w:val="00C1275F"/>
    <w:rsid w:val="00C14987"/>
    <w:rsid w:val="00C16EB9"/>
    <w:rsid w:val="00C20FA9"/>
    <w:rsid w:val="00C21D6D"/>
    <w:rsid w:val="00C242E8"/>
    <w:rsid w:val="00C243CA"/>
    <w:rsid w:val="00C26043"/>
    <w:rsid w:val="00C27CEF"/>
    <w:rsid w:val="00C31369"/>
    <w:rsid w:val="00C416D4"/>
    <w:rsid w:val="00C42425"/>
    <w:rsid w:val="00C430BE"/>
    <w:rsid w:val="00C4392B"/>
    <w:rsid w:val="00C449D5"/>
    <w:rsid w:val="00C46F64"/>
    <w:rsid w:val="00C50FFB"/>
    <w:rsid w:val="00C54F74"/>
    <w:rsid w:val="00C62B18"/>
    <w:rsid w:val="00C64A4A"/>
    <w:rsid w:val="00C65A7F"/>
    <w:rsid w:val="00C67CC1"/>
    <w:rsid w:val="00C7125A"/>
    <w:rsid w:val="00C760B9"/>
    <w:rsid w:val="00C76904"/>
    <w:rsid w:val="00C81043"/>
    <w:rsid w:val="00C82233"/>
    <w:rsid w:val="00C8376E"/>
    <w:rsid w:val="00C85297"/>
    <w:rsid w:val="00C86D7C"/>
    <w:rsid w:val="00C9065E"/>
    <w:rsid w:val="00C913B9"/>
    <w:rsid w:val="00C94A64"/>
    <w:rsid w:val="00C95230"/>
    <w:rsid w:val="00CA1811"/>
    <w:rsid w:val="00CA4E49"/>
    <w:rsid w:val="00CA567E"/>
    <w:rsid w:val="00CB73DF"/>
    <w:rsid w:val="00CC371B"/>
    <w:rsid w:val="00CD3747"/>
    <w:rsid w:val="00CD5518"/>
    <w:rsid w:val="00CD5CAD"/>
    <w:rsid w:val="00CD5D57"/>
    <w:rsid w:val="00CE7771"/>
    <w:rsid w:val="00CE7EF7"/>
    <w:rsid w:val="00CF0B9E"/>
    <w:rsid w:val="00CF2303"/>
    <w:rsid w:val="00CF5D3A"/>
    <w:rsid w:val="00CF732C"/>
    <w:rsid w:val="00D03167"/>
    <w:rsid w:val="00D03893"/>
    <w:rsid w:val="00D03979"/>
    <w:rsid w:val="00D1216C"/>
    <w:rsid w:val="00D14379"/>
    <w:rsid w:val="00D15F61"/>
    <w:rsid w:val="00D173F8"/>
    <w:rsid w:val="00D20FEC"/>
    <w:rsid w:val="00D21EA8"/>
    <w:rsid w:val="00D2384F"/>
    <w:rsid w:val="00D2399F"/>
    <w:rsid w:val="00D26AE3"/>
    <w:rsid w:val="00D30A67"/>
    <w:rsid w:val="00D32565"/>
    <w:rsid w:val="00D34F45"/>
    <w:rsid w:val="00D36BA2"/>
    <w:rsid w:val="00D40397"/>
    <w:rsid w:val="00D41CCE"/>
    <w:rsid w:val="00D46B4F"/>
    <w:rsid w:val="00D47188"/>
    <w:rsid w:val="00D51CED"/>
    <w:rsid w:val="00D51FB9"/>
    <w:rsid w:val="00D53815"/>
    <w:rsid w:val="00D53E28"/>
    <w:rsid w:val="00D55AB8"/>
    <w:rsid w:val="00D61F07"/>
    <w:rsid w:val="00D63265"/>
    <w:rsid w:val="00D746B4"/>
    <w:rsid w:val="00D8557C"/>
    <w:rsid w:val="00D9049A"/>
    <w:rsid w:val="00D96CE3"/>
    <w:rsid w:val="00DA2F5D"/>
    <w:rsid w:val="00DA585A"/>
    <w:rsid w:val="00DB0ACD"/>
    <w:rsid w:val="00DB0CBF"/>
    <w:rsid w:val="00DB76AC"/>
    <w:rsid w:val="00DC0C47"/>
    <w:rsid w:val="00DC132A"/>
    <w:rsid w:val="00DC4FEA"/>
    <w:rsid w:val="00DC58D4"/>
    <w:rsid w:val="00DC720F"/>
    <w:rsid w:val="00DC7CA0"/>
    <w:rsid w:val="00DD277E"/>
    <w:rsid w:val="00DD3CD1"/>
    <w:rsid w:val="00DD764B"/>
    <w:rsid w:val="00DE2A0A"/>
    <w:rsid w:val="00DE3FD8"/>
    <w:rsid w:val="00DE504B"/>
    <w:rsid w:val="00DF4368"/>
    <w:rsid w:val="00DF49D5"/>
    <w:rsid w:val="00DF5ADA"/>
    <w:rsid w:val="00E00062"/>
    <w:rsid w:val="00E023F4"/>
    <w:rsid w:val="00E044D8"/>
    <w:rsid w:val="00E101AD"/>
    <w:rsid w:val="00E12050"/>
    <w:rsid w:val="00E141D7"/>
    <w:rsid w:val="00E15083"/>
    <w:rsid w:val="00E16E6B"/>
    <w:rsid w:val="00E242DD"/>
    <w:rsid w:val="00E256E5"/>
    <w:rsid w:val="00E27422"/>
    <w:rsid w:val="00E27A4F"/>
    <w:rsid w:val="00E33DD4"/>
    <w:rsid w:val="00E34307"/>
    <w:rsid w:val="00E34B25"/>
    <w:rsid w:val="00E367D3"/>
    <w:rsid w:val="00E42CE8"/>
    <w:rsid w:val="00E44CDF"/>
    <w:rsid w:val="00E4535A"/>
    <w:rsid w:val="00E504C9"/>
    <w:rsid w:val="00E52065"/>
    <w:rsid w:val="00E5335A"/>
    <w:rsid w:val="00E6102A"/>
    <w:rsid w:val="00E628D1"/>
    <w:rsid w:val="00E62E11"/>
    <w:rsid w:val="00E6376B"/>
    <w:rsid w:val="00E638DF"/>
    <w:rsid w:val="00E657B6"/>
    <w:rsid w:val="00E669BC"/>
    <w:rsid w:val="00E66BE4"/>
    <w:rsid w:val="00E725B0"/>
    <w:rsid w:val="00E735B1"/>
    <w:rsid w:val="00E81959"/>
    <w:rsid w:val="00E8207A"/>
    <w:rsid w:val="00E83712"/>
    <w:rsid w:val="00E86AC3"/>
    <w:rsid w:val="00E86EC5"/>
    <w:rsid w:val="00E90D64"/>
    <w:rsid w:val="00E928A7"/>
    <w:rsid w:val="00E9372B"/>
    <w:rsid w:val="00E97E00"/>
    <w:rsid w:val="00EA1DEB"/>
    <w:rsid w:val="00EA59B9"/>
    <w:rsid w:val="00EB1F55"/>
    <w:rsid w:val="00EB5F0E"/>
    <w:rsid w:val="00EB68F7"/>
    <w:rsid w:val="00EB7676"/>
    <w:rsid w:val="00EC1750"/>
    <w:rsid w:val="00EC6F06"/>
    <w:rsid w:val="00EC6F0D"/>
    <w:rsid w:val="00EC712D"/>
    <w:rsid w:val="00ED08EF"/>
    <w:rsid w:val="00ED146F"/>
    <w:rsid w:val="00ED4976"/>
    <w:rsid w:val="00ED6332"/>
    <w:rsid w:val="00ED74AF"/>
    <w:rsid w:val="00ED774F"/>
    <w:rsid w:val="00ED7D9B"/>
    <w:rsid w:val="00EE1155"/>
    <w:rsid w:val="00EF2F1B"/>
    <w:rsid w:val="00EF3CFF"/>
    <w:rsid w:val="00F06E94"/>
    <w:rsid w:val="00F170CC"/>
    <w:rsid w:val="00F21FCD"/>
    <w:rsid w:val="00F223D1"/>
    <w:rsid w:val="00F2572E"/>
    <w:rsid w:val="00F258B7"/>
    <w:rsid w:val="00F27D76"/>
    <w:rsid w:val="00F3142F"/>
    <w:rsid w:val="00F31A30"/>
    <w:rsid w:val="00F31CBD"/>
    <w:rsid w:val="00F35C9A"/>
    <w:rsid w:val="00F3734C"/>
    <w:rsid w:val="00F42398"/>
    <w:rsid w:val="00F513DC"/>
    <w:rsid w:val="00F535D2"/>
    <w:rsid w:val="00F549C8"/>
    <w:rsid w:val="00F6055E"/>
    <w:rsid w:val="00F609D8"/>
    <w:rsid w:val="00F62380"/>
    <w:rsid w:val="00F62F36"/>
    <w:rsid w:val="00F639A0"/>
    <w:rsid w:val="00F63A47"/>
    <w:rsid w:val="00F658E7"/>
    <w:rsid w:val="00F702C0"/>
    <w:rsid w:val="00F713B8"/>
    <w:rsid w:val="00F74F9C"/>
    <w:rsid w:val="00F754AD"/>
    <w:rsid w:val="00F77FAB"/>
    <w:rsid w:val="00F81725"/>
    <w:rsid w:val="00F87BEB"/>
    <w:rsid w:val="00F916A5"/>
    <w:rsid w:val="00F916CF"/>
    <w:rsid w:val="00F93B88"/>
    <w:rsid w:val="00F9716E"/>
    <w:rsid w:val="00FA1A5C"/>
    <w:rsid w:val="00FA1D77"/>
    <w:rsid w:val="00FA3132"/>
    <w:rsid w:val="00FA6B1C"/>
    <w:rsid w:val="00FB18A6"/>
    <w:rsid w:val="00FB56B0"/>
    <w:rsid w:val="00FB5F68"/>
    <w:rsid w:val="00FC10CF"/>
    <w:rsid w:val="00FC1C06"/>
    <w:rsid w:val="00FC1D30"/>
    <w:rsid w:val="00FC32C5"/>
    <w:rsid w:val="00FC38E9"/>
    <w:rsid w:val="00FC5276"/>
    <w:rsid w:val="00FC64DF"/>
    <w:rsid w:val="00FD22D8"/>
    <w:rsid w:val="00FD2BC3"/>
    <w:rsid w:val="00FD52D2"/>
    <w:rsid w:val="00FD7918"/>
    <w:rsid w:val="00FE4F93"/>
    <w:rsid w:val="00FE568B"/>
    <w:rsid w:val="00FE5796"/>
    <w:rsid w:val="00FF24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46F"/>
    <w:pPr>
      <w:spacing w:before="120" w:after="120" w:line="240" w:lineRule="auto"/>
    </w:pPr>
  </w:style>
  <w:style w:type="paragraph" w:styleId="Heading1">
    <w:name w:val="heading 1"/>
    <w:basedOn w:val="ListParagraph"/>
    <w:link w:val="Heading1Char"/>
    <w:uiPriority w:val="9"/>
    <w:qFormat/>
    <w:rsid w:val="0028216F"/>
    <w:pPr>
      <w:numPr>
        <w:numId w:val="1"/>
      </w:numPr>
      <w:spacing w:before="480" w:after="480"/>
      <w:ind w:left="426" w:hanging="426"/>
      <w:contextualSpacing w:val="0"/>
      <w:outlineLvl w:val="0"/>
    </w:pPr>
    <w:rPr>
      <w:rFonts w:eastAsiaTheme="majorEastAsia"/>
      <w:b/>
      <w:sz w:val="36"/>
      <w:szCs w:val="36"/>
    </w:rPr>
  </w:style>
  <w:style w:type="paragraph" w:styleId="Heading2">
    <w:name w:val="heading 2"/>
    <w:basedOn w:val="Normal"/>
    <w:next w:val="Normal"/>
    <w:link w:val="Heading2Char"/>
    <w:uiPriority w:val="9"/>
    <w:unhideWhenUsed/>
    <w:qFormat/>
    <w:rsid w:val="00512087"/>
    <w:pPr>
      <w:spacing w:before="240"/>
      <w:contextualSpacing/>
      <w:outlineLvl w:val="1"/>
    </w:pPr>
    <w:rPr>
      <w:rFonts w:ascii="Calibri" w:eastAsiaTheme="majorEastAsia" w:hAnsi="Calibri" w:cs="Calibri"/>
      <w:b/>
      <w:sz w:val="28"/>
      <w:u w:val="single"/>
      <w:lang w:val="en-US"/>
    </w:rPr>
  </w:style>
  <w:style w:type="paragraph" w:styleId="Heading3">
    <w:name w:val="heading 3"/>
    <w:basedOn w:val="Normal"/>
    <w:next w:val="Normal"/>
    <w:link w:val="Heading3Char"/>
    <w:uiPriority w:val="9"/>
    <w:unhideWhenUsed/>
    <w:qFormat/>
    <w:rsid w:val="00512087"/>
    <w:pPr>
      <w:spacing w:before="240"/>
      <w:contextualSpacing/>
      <w:outlineLvl w:val="2"/>
    </w:pPr>
    <w:rPr>
      <w:rFonts w:ascii="Calibri" w:hAnsi="Calibri" w:cs="Calibr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57F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7F1"/>
    <w:rPr>
      <w:rFonts w:ascii="Tahoma" w:hAnsi="Tahoma" w:cs="Tahoma"/>
      <w:sz w:val="16"/>
      <w:szCs w:val="16"/>
    </w:rPr>
  </w:style>
  <w:style w:type="character" w:styleId="Hyperlink">
    <w:name w:val="Hyperlink"/>
    <w:basedOn w:val="DefaultParagraphFont"/>
    <w:uiPriority w:val="99"/>
    <w:unhideWhenUsed/>
    <w:rsid w:val="00D03167"/>
    <w:rPr>
      <w:color w:val="0000FF" w:themeColor="hyperlink"/>
      <w:u w:val="single"/>
    </w:rPr>
  </w:style>
  <w:style w:type="paragraph" w:styleId="ListParagraph">
    <w:name w:val="List Paragraph"/>
    <w:basedOn w:val="Normal"/>
    <w:link w:val="ListParagraphChar"/>
    <w:uiPriority w:val="34"/>
    <w:qFormat/>
    <w:rsid w:val="00C42425"/>
    <w:pPr>
      <w:ind w:left="720"/>
      <w:contextualSpacing/>
    </w:pPr>
  </w:style>
  <w:style w:type="paragraph" w:styleId="Header">
    <w:name w:val="header"/>
    <w:basedOn w:val="Normal"/>
    <w:link w:val="HeaderChar"/>
    <w:uiPriority w:val="99"/>
    <w:unhideWhenUsed/>
    <w:rsid w:val="00BB6C28"/>
    <w:pPr>
      <w:tabs>
        <w:tab w:val="center" w:pos="4513"/>
        <w:tab w:val="right" w:pos="9026"/>
      </w:tabs>
      <w:spacing w:after="0"/>
    </w:pPr>
  </w:style>
  <w:style w:type="character" w:customStyle="1" w:styleId="HeaderChar">
    <w:name w:val="Header Char"/>
    <w:basedOn w:val="DefaultParagraphFont"/>
    <w:link w:val="Header"/>
    <w:uiPriority w:val="99"/>
    <w:rsid w:val="00BB6C28"/>
  </w:style>
  <w:style w:type="paragraph" w:styleId="Footer">
    <w:name w:val="footer"/>
    <w:basedOn w:val="Normal"/>
    <w:link w:val="FooterChar"/>
    <w:uiPriority w:val="99"/>
    <w:unhideWhenUsed/>
    <w:rsid w:val="00BB6C28"/>
    <w:pPr>
      <w:tabs>
        <w:tab w:val="center" w:pos="4513"/>
        <w:tab w:val="right" w:pos="9026"/>
      </w:tabs>
      <w:spacing w:after="0"/>
    </w:pPr>
  </w:style>
  <w:style w:type="character" w:customStyle="1" w:styleId="FooterChar">
    <w:name w:val="Footer Char"/>
    <w:basedOn w:val="DefaultParagraphFont"/>
    <w:link w:val="Footer"/>
    <w:uiPriority w:val="99"/>
    <w:rsid w:val="00BB6C28"/>
  </w:style>
  <w:style w:type="character" w:styleId="CommentReference">
    <w:name w:val="annotation reference"/>
    <w:basedOn w:val="DefaultParagraphFont"/>
    <w:uiPriority w:val="99"/>
    <w:semiHidden/>
    <w:unhideWhenUsed/>
    <w:rsid w:val="00DC720F"/>
    <w:rPr>
      <w:sz w:val="16"/>
      <w:szCs w:val="16"/>
    </w:rPr>
  </w:style>
  <w:style w:type="paragraph" w:styleId="CommentText">
    <w:name w:val="annotation text"/>
    <w:basedOn w:val="Normal"/>
    <w:link w:val="CommentTextChar"/>
    <w:uiPriority w:val="99"/>
    <w:unhideWhenUsed/>
    <w:rsid w:val="00DC720F"/>
    <w:rPr>
      <w:sz w:val="20"/>
      <w:szCs w:val="20"/>
    </w:rPr>
  </w:style>
  <w:style w:type="character" w:customStyle="1" w:styleId="CommentTextChar">
    <w:name w:val="Comment Text Char"/>
    <w:basedOn w:val="DefaultParagraphFont"/>
    <w:link w:val="CommentText"/>
    <w:uiPriority w:val="99"/>
    <w:rsid w:val="00DC720F"/>
    <w:rPr>
      <w:sz w:val="20"/>
      <w:szCs w:val="20"/>
    </w:rPr>
  </w:style>
  <w:style w:type="paragraph" w:styleId="CommentSubject">
    <w:name w:val="annotation subject"/>
    <w:basedOn w:val="CommentText"/>
    <w:next w:val="CommentText"/>
    <w:link w:val="CommentSubjectChar"/>
    <w:uiPriority w:val="99"/>
    <w:semiHidden/>
    <w:unhideWhenUsed/>
    <w:rsid w:val="00DC720F"/>
    <w:rPr>
      <w:b/>
      <w:bCs/>
    </w:rPr>
  </w:style>
  <w:style w:type="character" w:customStyle="1" w:styleId="CommentSubjectChar">
    <w:name w:val="Comment Subject Char"/>
    <w:basedOn w:val="CommentTextChar"/>
    <w:link w:val="CommentSubject"/>
    <w:uiPriority w:val="99"/>
    <w:semiHidden/>
    <w:rsid w:val="00DC720F"/>
    <w:rPr>
      <w:b/>
      <w:bCs/>
      <w:sz w:val="20"/>
      <w:szCs w:val="20"/>
    </w:rPr>
  </w:style>
  <w:style w:type="paragraph" w:styleId="FootnoteText">
    <w:name w:val="footnote text"/>
    <w:basedOn w:val="Normal"/>
    <w:link w:val="FootnoteTextChar"/>
    <w:autoRedefine/>
    <w:uiPriority w:val="99"/>
    <w:unhideWhenUsed/>
    <w:qFormat/>
    <w:rsid w:val="00CE7EF7"/>
    <w:pPr>
      <w:spacing w:before="0" w:after="0"/>
      <w:ind w:left="284" w:hanging="284"/>
    </w:pPr>
    <w:rPr>
      <w:sz w:val="16"/>
      <w:szCs w:val="16"/>
    </w:rPr>
  </w:style>
  <w:style w:type="character" w:customStyle="1" w:styleId="FootnoteTextChar">
    <w:name w:val="Footnote Text Char"/>
    <w:basedOn w:val="DefaultParagraphFont"/>
    <w:link w:val="FootnoteText"/>
    <w:uiPriority w:val="99"/>
    <w:rsid w:val="00CE7EF7"/>
    <w:rPr>
      <w:sz w:val="16"/>
      <w:szCs w:val="16"/>
    </w:rPr>
  </w:style>
  <w:style w:type="character" w:styleId="FootnoteReference">
    <w:name w:val="footnote reference"/>
    <w:basedOn w:val="DefaultParagraphFont"/>
    <w:uiPriority w:val="99"/>
    <w:unhideWhenUsed/>
    <w:rsid w:val="00A41A69"/>
    <w:rPr>
      <w:vertAlign w:val="superscript"/>
    </w:rPr>
  </w:style>
  <w:style w:type="character" w:customStyle="1" w:styleId="Heading1Char">
    <w:name w:val="Heading 1 Char"/>
    <w:basedOn w:val="DefaultParagraphFont"/>
    <w:link w:val="Heading1"/>
    <w:uiPriority w:val="9"/>
    <w:rsid w:val="0028216F"/>
    <w:rPr>
      <w:rFonts w:eastAsiaTheme="majorEastAsia"/>
      <w:b/>
      <w:sz w:val="36"/>
      <w:szCs w:val="36"/>
    </w:rPr>
  </w:style>
  <w:style w:type="paragraph" w:styleId="NoSpacing">
    <w:name w:val="No Spacing"/>
    <w:link w:val="NoSpacingChar"/>
    <w:uiPriority w:val="1"/>
    <w:qFormat/>
    <w:rsid w:val="00F62F36"/>
    <w:pPr>
      <w:spacing w:after="0" w:line="240" w:lineRule="auto"/>
    </w:pPr>
    <w:rPr>
      <w:lang w:val="en-US" w:eastAsia="ja-JP"/>
    </w:rPr>
  </w:style>
  <w:style w:type="character" w:customStyle="1" w:styleId="NoSpacingChar">
    <w:name w:val="No Spacing Char"/>
    <w:basedOn w:val="DefaultParagraphFont"/>
    <w:link w:val="NoSpacing"/>
    <w:uiPriority w:val="1"/>
    <w:rsid w:val="00F62F36"/>
    <w:rPr>
      <w:lang w:val="en-US" w:eastAsia="ja-JP"/>
    </w:rPr>
  </w:style>
  <w:style w:type="character" w:styleId="FollowedHyperlink">
    <w:name w:val="FollowedHyperlink"/>
    <w:basedOn w:val="DefaultParagraphFont"/>
    <w:uiPriority w:val="99"/>
    <w:semiHidden/>
    <w:unhideWhenUsed/>
    <w:rsid w:val="009A7511"/>
    <w:rPr>
      <w:color w:val="800080" w:themeColor="followedHyperlink"/>
      <w:u w:val="single"/>
    </w:rPr>
  </w:style>
  <w:style w:type="character" w:customStyle="1" w:styleId="Heading2Char">
    <w:name w:val="Heading 2 Char"/>
    <w:basedOn w:val="DefaultParagraphFont"/>
    <w:link w:val="Heading2"/>
    <w:uiPriority w:val="9"/>
    <w:rsid w:val="00512087"/>
    <w:rPr>
      <w:rFonts w:ascii="Calibri" w:eastAsiaTheme="majorEastAsia" w:hAnsi="Calibri" w:cs="Calibri"/>
      <w:b/>
      <w:sz w:val="28"/>
      <w:u w:val="single"/>
      <w:lang w:val="en-US"/>
    </w:rPr>
  </w:style>
  <w:style w:type="paragraph" w:styleId="NormalWeb">
    <w:name w:val="Normal (Web)"/>
    <w:basedOn w:val="Normal"/>
    <w:uiPriority w:val="99"/>
    <w:unhideWhenUsed/>
    <w:rsid w:val="000C478B"/>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547CD5"/>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08138D"/>
    <w:pPr>
      <w:spacing w:after="0" w:line="240" w:lineRule="auto"/>
    </w:pPr>
  </w:style>
  <w:style w:type="character" w:customStyle="1" w:styleId="Heading3Char">
    <w:name w:val="Heading 3 Char"/>
    <w:basedOn w:val="DefaultParagraphFont"/>
    <w:link w:val="Heading3"/>
    <w:uiPriority w:val="9"/>
    <w:rsid w:val="00512087"/>
    <w:rPr>
      <w:rFonts w:ascii="Calibri" w:hAnsi="Calibri" w:cs="Calibri"/>
      <w:b/>
      <w:sz w:val="26"/>
      <w:szCs w:val="26"/>
    </w:rPr>
  </w:style>
  <w:style w:type="paragraph" w:customStyle="1" w:styleId="WendyList">
    <w:name w:val="Wendy List"/>
    <w:basedOn w:val="ListParagraph"/>
    <w:link w:val="WendyListChar"/>
    <w:qFormat/>
    <w:rsid w:val="00A05AE2"/>
    <w:pPr>
      <w:widowControl w:val="0"/>
      <w:numPr>
        <w:numId w:val="19"/>
      </w:numPr>
      <w:autoSpaceDE w:val="0"/>
      <w:autoSpaceDN w:val="0"/>
      <w:adjustRightInd w:val="0"/>
      <w:spacing w:after="0"/>
      <w:contextualSpacing w:val="0"/>
    </w:pPr>
    <w:rPr>
      <w:rFonts w:cs="Calibri"/>
      <w:color w:val="000000"/>
      <w:sz w:val="21"/>
      <w:szCs w:val="21"/>
    </w:rPr>
  </w:style>
  <w:style w:type="character" w:customStyle="1" w:styleId="WendyListChar">
    <w:name w:val="Wendy List Char"/>
    <w:basedOn w:val="ListParagraphChar"/>
    <w:link w:val="WendyList"/>
    <w:rsid w:val="00A05AE2"/>
    <w:rPr>
      <w:rFonts w:cs="Calibri"/>
      <w:color w:val="000000"/>
      <w:sz w:val="21"/>
      <w:szCs w:val="21"/>
    </w:rPr>
  </w:style>
  <w:style w:type="character" w:customStyle="1" w:styleId="ListParagraphChar">
    <w:name w:val="List Paragraph Char"/>
    <w:basedOn w:val="DefaultParagraphFont"/>
    <w:link w:val="ListParagraph"/>
    <w:uiPriority w:val="34"/>
    <w:rsid w:val="00A05AE2"/>
  </w:style>
  <w:style w:type="paragraph" w:styleId="EndnoteText">
    <w:name w:val="endnote text"/>
    <w:basedOn w:val="Normal"/>
    <w:link w:val="EndnoteTextChar"/>
    <w:uiPriority w:val="99"/>
    <w:unhideWhenUsed/>
    <w:rsid w:val="002F235D"/>
    <w:pPr>
      <w:widowControl w:val="0"/>
      <w:autoSpaceDE w:val="0"/>
      <w:autoSpaceDN w:val="0"/>
      <w:adjustRightInd w:val="0"/>
      <w:spacing w:after="0"/>
    </w:pPr>
    <w:rPr>
      <w:rFonts w:cs="Calibri"/>
      <w:color w:val="000000"/>
      <w:sz w:val="21"/>
      <w:szCs w:val="20"/>
    </w:rPr>
  </w:style>
  <w:style w:type="character" w:customStyle="1" w:styleId="EndnoteTextChar">
    <w:name w:val="Endnote Text Char"/>
    <w:basedOn w:val="DefaultParagraphFont"/>
    <w:link w:val="EndnoteText"/>
    <w:uiPriority w:val="99"/>
    <w:rsid w:val="002F235D"/>
    <w:rPr>
      <w:rFonts w:cs="Calibri"/>
      <w:color w:val="000000"/>
      <w:sz w:val="21"/>
      <w:szCs w:val="20"/>
    </w:rPr>
  </w:style>
  <w:style w:type="character" w:styleId="EndnoteReference">
    <w:name w:val="endnote reference"/>
    <w:basedOn w:val="DefaultParagraphFont"/>
    <w:uiPriority w:val="99"/>
    <w:semiHidden/>
    <w:unhideWhenUsed/>
    <w:rsid w:val="002F235D"/>
    <w:rPr>
      <w:rFonts w:cs="Times New Roman"/>
      <w:vertAlign w:val="superscript"/>
    </w:rPr>
  </w:style>
  <w:style w:type="paragraph" w:customStyle="1" w:styleId="Pa15">
    <w:name w:val="Pa15"/>
    <w:basedOn w:val="Default"/>
    <w:next w:val="Default"/>
    <w:uiPriority w:val="99"/>
    <w:rsid w:val="00C416D4"/>
    <w:pPr>
      <w:spacing w:line="221" w:lineRule="atLeast"/>
    </w:pPr>
    <w:rPr>
      <w:rFonts w:cs="Times New Roman"/>
      <w:color w:val="auto"/>
    </w:rPr>
  </w:style>
  <w:style w:type="character" w:customStyle="1" w:styleId="A10">
    <w:name w:val="A10"/>
    <w:uiPriority w:val="99"/>
    <w:rsid w:val="00C416D4"/>
    <w:rPr>
      <w:rFonts w:cs="Calibri"/>
      <w:color w:val="221E1F"/>
      <w:sz w:val="12"/>
      <w:szCs w:val="12"/>
    </w:rPr>
  </w:style>
  <w:style w:type="paragraph" w:styleId="TOCHeading">
    <w:name w:val="TOC Heading"/>
    <w:basedOn w:val="Heading1"/>
    <w:next w:val="Normal"/>
    <w:uiPriority w:val="39"/>
    <w:semiHidden/>
    <w:unhideWhenUsed/>
    <w:qFormat/>
    <w:rsid w:val="00331D16"/>
    <w:pPr>
      <w:keepNext/>
      <w:keepLines/>
      <w:numPr>
        <w:numId w:val="0"/>
      </w:numPr>
      <w:spacing w:after="0" w:line="276" w:lineRule="auto"/>
      <w:outlineLvl w:val="9"/>
    </w:pPr>
    <w:rPr>
      <w:rFonts w:asciiTheme="majorHAnsi"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qFormat/>
    <w:rsid w:val="004D4174"/>
    <w:pPr>
      <w:spacing w:before="360"/>
      <w:ind w:left="425" w:hanging="425"/>
    </w:pPr>
    <w:rPr>
      <w:b/>
    </w:rPr>
  </w:style>
  <w:style w:type="paragraph" w:styleId="TOC2">
    <w:name w:val="toc 2"/>
    <w:basedOn w:val="Normal"/>
    <w:next w:val="Normal"/>
    <w:autoRedefine/>
    <w:uiPriority w:val="39"/>
    <w:unhideWhenUsed/>
    <w:qFormat/>
    <w:rsid w:val="004D4174"/>
    <w:pPr>
      <w:tabs>
        <w:tab w:val="right" w:pos="11907"/>
      </w:tabs>
      <w:ind w:left="1276" w:right="1134" w:hanging="851"/>
    </w:pPr>
  </w:style>
  <w:style w:type="paragraph" w:styleId="TOC3">
    <w:name w:val="toc 3"/>
    <w:basedOn w:val="Normal"/>
    <w:next w:val="Normal"/>
    <w:autoRedefine/>
    <w:uiPriority w:val="39"/>
    <w:unhideWhenUsed/>
    <w:qFormat/>
    <w:rsid w:val="004D4174"/>
    <w:pPr>
      <w:tabs>
        <w:tab w:val="right" w:leader="dot" w:pos="9911"/>
      </w:tabs>
      <w:spacing w:before="0" w:after="0"/>
      <w:ind w:left="851" w:right="1134"/>
    </w:pPr>
    <w:rPr>
      <w:sz w:val="20"/>
    </w:rPr>
  </w:style>
  <w:style w:type="character" w:customStyle="1" w:styleId="pubtitle">
    <w:name w:val="pubtitle"/>
    <w:basedOn w:val="DefaultParagraphFont"/>
    <w:rsid w:val="007D6E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46F"/>
    <w:pPr>
      <w:spacing w:before="120" w:after="120" w:line="240" w:lineRule="auto"/>
    </w:pPr>
  </w:style>
  <w:style w:type="paragraph" w:styleId="Heading1">
    <w:name w:val="heading 1"/>
    <w:basedOn w:val="ListParagraph"/>
    <w:link w:val="Heading1Char"/>
    <w:uiPriority w:val="9"/>
    <w:qFormat/>
    <w:rsid w:val="0028216F"/>
    <w:pPr>
      <w:numPr>
        <w:numId w:val="1"/>
      </w:numPr>
      <w:spacing w:before="480" w:after="480"/>
      <w:ind w:left="426" w:hanging="426"/>
      <w:contextualSpacing w:val="0"/>
      <w:outlineLvl w:val="0"/>
    </w:pPr>
    <w:rPr>
      <w:rFonts w:eastAsiaTheme="majorEastAsia"/>
      <w:b/>
      <w:sz w:val="36"/>
      <w:szCs w:val="36"/>
    </w:rPr>
  </w:style>
  <w:style w:type="paragraph" w:styleId="Heading2">
    <w:name w:val="heading 2"/>
    <w:basedOn w:val="Normal"/>
    <w:next w:val="Normal"/>
    <w:link w:val="Heading2Char"/>
    <w:uiPriority w:val="9"/>
    <w:unhideWhenUsed/>
    <w:qFormat/>
    <w:rsid w:val="00512087"/>
    <w:pPr>
      <w:spacing w:before="240"/>
      <w:contextualSpacing/>
      <w:outlineLvl w:val="1"/>
    </w:pPr>
    <w:rPr>
      <w:rFonts w:ascii="Calibri" w:eastAsiaTheme="majorEastAsia" w:hAnsi="Calibri" w:cs="Calibri"/>
      <w:b/>
      <w:sz w:val="28"/>
      <w:u w:val="single"/>
      <w:lang w:val="en-US"/>
    </w:rPr>
  </w:style>
  <w:style w:type="paragraph" w:styleId="Heading3">
    <w:name w:val="heading 3"/>
    <w:basedOn w:val="Normal"/>
    <w:next w:val="Normal"/>
    <w:link w:val="Heading3Char"/>
    <w:uiPriority w:val="9"/>
    <w:unhideWhenUsed/>
    <w:qFormat/>
    <w:rsid w:val="00512087"/>
    <w:pPr>
      <w:spacing w:before="240"/>
      <w:contextualSpacing/>
      <w:outlineLvl w:val="2"/>
    </w:pPr>
    <w:rPr>
      <w:rFonts w:ascii="Calibri" w:hAnsi="Calibri" w:cs="Calibr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57F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7F1"/>
    <w:rPr>
      <w:rFonts w:ascii="Tahoma" w:hAnsi="Tahoma" w:cs="Tahoma"/>
      <w:sz w:val="16"/>
      <w:szCs w:val="16"/>
    </w:rPr>
  </w:style>
  <w:style w:type="character" w:styleId="Hyperlink">
    <w:name w:val="Hyperlink"/>
    <w:basedOn w:val="DefaultParagraphFont"/>
    <w:uiPriority w:val="99"/>
    <w:unhideWhenUsed/>
    <w:rsid w:val="00D03167"/>
    <w:rPr>
      <w:color w:val="0000FF" w:themeColor="hyperlink"/>
      <w:u w:val="single"/>
    </w:rPr>
  </w:style>
  <w:style w:type="paragraph" w:styleId="ListParagraph">
    <w:name w:val="List Paragraph"/>
    <w:basedOn w:val="Normal"/>
    <w:link w:val="ListParagraphChar"/>
    <w:uiPriority w:val="34"/>
    <w:qFormat/>
    <w:rsid w:val="00C42425"/>
    <w:pPr>
      <w:ind w:left="720"/>
      <w:contextualSpacing/>
    </w:pPr>
  </w:style>
  <w:style w:type="paragraph" w:styleId="Header">
    <w:name w:val="header"/>
    <w:basedOn w:val="Normal"/>
    <w:link w:val="HeaderChar"/>
    <w:uiPriority w:val="99"/>
    <w:unhideWhenUsed/>
    <w:rsid w:val="00BB6C28"/>
    <w:pPr>
      <w:tabs>
        <w:tab w:val="center" w:pos="4513"/>
        <w:tab w:val="right" w:pos="9026"/>
      </w:tabs>
      <w:spacing w:after="0"/>
    </w:pPr>
  </w:style>
  <w:style w:type="character" w:customStyle="1" w:styleId="HeaderChar">
    <w:name w:val="Header Char"/>
    <w:basedOn w:val="DefaultParagraphFont"/>
    <w:link w:val="Header"/>
    <w:uiPriority w:val="99"/>
    <w:rsid w:val="00BB6C28"/>
  </w:style>
  <w:style w:type="paragraph" w:styleId="Footer">
    <w:name w:val="footer"/>
    <w:basedOn w:val="Normal"/>
    <w:link w:val="FooterChar"/>
    <w:uiPriority w:val="99"/>
    <w:unhideWhenUsed/>
    <w:rsid w:val="00BB6C28"/>
    <w:pPr>
      <w:tabs>
        <w:tab w:val="center" w:pos="4513"/>
        <w:tab w:val="right" w:pos="9026"/>
      </w:tabs>
      <w:spacing w:after="0"/>
    </w:pPr>
  </w:style>
  <w:style w:type="character" w:customStyle="1" w:styleId="FooterChar">
    <w:name w:val="Footer Char"/>
    <w:basedOn w:val="DefaultParagraphFont"/>
    <w:link w:val="Footer"/>
    <w:uiPriority w:val="99"/>
    <w:rsid w:val="00BB6C28"/>
  </w:style>
  <w:style w:type="character" w:styleId="CommentReference">
    <w:name w:val="annotation reference"/>
    <w:basedOn w:val="DefaultParagraphFont"/>
    <w:uiPriority w:val="99"/>
    <w:semiHidden/>
    <w:unhideWhenUsed/>
    <w:rsid w:val="00DC720F"/>
    <w:rPr>
      <w:sz w:val="16"/>
      <w:szCs w:val="16"/>
    </w:rPr>
  </w:style>
  <w:style w:type="paragraph" w:styleId="CommentText">
    <w:name w:val="annotation text"/>
    <w:basedOn w:val="Normal"/>
    <w:link w:val="CommentTextChar"/>
    <w:uiPriority w:val="99"/>
    <w:unhideWhenUsed/>
    <w:rsid w:val="00DC720F"/>
    <w:rPr>
      <w:sz w:val="20"/>
      <w:szCs w:val="20"/>
    </w:rPr>
  </w:style>
  <w:style w:type="character" w:customStyle="1" w:styleId="CommentTextChar">
    <w:name w:val="Comment Text Char"/>
    <w:basedOn w:val="DefaultParagraphFont"/>
    <w:link w:val="CommentText"/>
    <w:uiPriority w:val="99"/>
    <w:rsid w:val="00DC720F"/>
    <w:rPr>
      <w:sz w:val="20"/>
      <w:szCs w:val="20"/>
    </w:rPr>
  </w:style>
  <w:style w:type="paragraph" w:styleId="CommentSubject">
    <w:name w:val="annotation subject"/>
    <w:basedOn w:val="CommentText"/>
    <w:next w:val="CommentText"/>
    <w:link w:val="CommentSubjectChar"/>
    <w:uiPriority w:val="99"/>
    <w:semiHidden/>
    <w:unhideWhenUsed/>
    <w:rsid w:val="00DC720F"/>
    <w:rPr>
      <w:b/>
      <w:bCs/>
    </w:rPr>
  </w:style>
  <w:style w:type="character" w:customStyle="1" w:styleId="CommentSubjectChar">
    <w:name w:val="Comment Subject Char"/>
    <w:basedOn w:val="CommentTextChar"/>
    <w:link w:val="CommentSubject"/>
    <w:uiPriority w:val="99"/>
    <w:semiHidden/>
    <w:rsid w:val="00DC720F"/>
    <w:rPr>
      <w:b/>
      <w:bCs/>
      <w:sz w:val="20"/>
      <w:szCs w:val="20"/>
    </w:rPr>
  </w:style>
  <w:style w:type="paragraph" w:styleId="FootnoteText">
    <w:name w:val="footnote text"/>
    <w:basedOn w:val="Normal"/>
    <w:link w:val="FootnoteTextChar"/>
    <w:autoRedefine/>
    <w:uiPriority w:val="99"/>
    <w:unhideWhenUsed/>
    <w:qFormat/>
    <w:rsid w:val="00CE7EF7"/>
    <w:pPr>
      <w:spacing w:before="0" w:after="0"/>
      <w:ind w:left="284" w:hanging="284"/>
    </w:pPr>
    <w:rPr>
      <w:sz w:val="16"/>
      <w:szCs w:val="16"/>
    </w:rPr>
  </w:style>
  <w:style w:type="character" w:customStyle="1" w:styleId="FootnoteTextChar">
    <w:name w:val="Footnote Text Char"/>
    <w:basedOn w:val="DefaultParagraphFont"/>
    <w:link w:val="FootnoteText"/>
    <w:uiPriority w:val="99"/>
    <w:rsid w:val="00CE7EF7"/>
    <w:rPr>
      <w:sz w:val="16"/>
      <w:szCs w:val="16"/>
    </w:rPr>
  </w:style>
  <w:style w:type="character" w:styleId="FootnoteReference">
    <w:name w:val="footnote reference"/>
    <w:basedOn w:val="DefaultParagraphFont"/>
    <w:uiPriority w:val="99"/>
    <w:unhideWhenUsed/>
    <w:rsid w:val="00A41A69"/>
    <w:rPr>
      <w:vertAlign w:val="superscript"/>
    </w:rPr>
  </w:style>
  <w:style w:type="character" w:customStyle="1" w:styleId="Heading1Char">
    <w:name w:val="Heading 1 Char"/>
    <w:basedOn w:val="DefaultParagraphFont"/>
    <w:link w:val="Heading1"/>
    <w:uiPriority w:val="9"/>
    <w:rsid w:val="0028216F"/>
    <w:rPr>
      <w:rFonts w:eastAsiaTheme="majorEastAsia"/>
      <w:b/>
      <w:sz w:val="36"/>
      <w:szCs w:val="36"/>
    </w:rPr>
  </w:style>
  <w:style w:type="paragraph" w:styleId="NoSpacing">
    <w:name w:val="No Spacing"/>
    <w:link w:val="NoSpacingChar"/>
    <w:uiPriority w:val="1"/>
    <w:qFormat/>
    <w:rsid w:val="00F62F36"/>
    <w:pPr>
      <w:spacing w:after="0" w:line="240" w:lineRule="auto"/>
    </w:pPr>
    <w:rPr>
      <w:lang w:val="en-US" w:eastAsia="ja-JP"/>
    </w:rPr>
  </w:style>
  <w:style w:type="character" w:customStyle="1" w:styleId="NoSpacingChar">
    <w:name w:val="No Spacing Char"/>
    <w:basedOn w:val="DefaultParagraphFont"/>
    <w:link w:val="NoSpacing"/>
    <w:uiPriority w:val="1"/>
    <w:rsid w:val="00F62F36"/>
    <w:rPr>
      <w:lang w:val="en-US" w:eastAsia="ja-JP"/>
    </w:rPr>
  </w:style>
  <w:style w:type="character" w:styleId="FollowedHyperlink">
    <w:name w:val="FollowedHyperlink"/>
    <w:basedOn w:val="DefaultParagraphFont"/>
    <w:uiPriority w:val="99"/>
    <w:semiHidden/>
    <w:unhideWhenUsed/>
    <w:rsid w:val="009A7511"/>
    <w:rPr>
      <w:color w:val="800080" w:themeColor="followedHyperlink"/>
      <w:u w:val="single"/>
    </w:rPr>
  </w:style>
  <w:style w:type="character" w:customStyle="1" w:styleId="Heading2Char">
    <w:name w:val="Heading 2 Char"/>
    <w:basedOn w:val="DefaultParagraphFont"/>
    <w:link w:val="Heading2"/>
    <w:uiPriority w:val="9"/>
    <w:rsid w:val="00512087"/>
    <w:rPr>
      <w:rFonts w:ascii="Calibri" w:eastAsiaTheme="majorEastAsia" w:hAnsi="Calibri" w:cs="Calibri"/>
      <w:b/>
      <w:sz w:val="28"/>
      <w:u w:val="single"/>
      <w:lang w:val="en-US"/>
    </w:rPr>
  </w:style>
  <w:style w:type="paragraph" w:styleId="NormalWeb">
    <w:name w:val="Normal (Web)"/>
    <w:basedOn w:val="Normal"/>
    <w:uiPriority w:val="99"/>
    <w:unhideWhenUsed/>
    <w:rsid w:val="000C478B"/>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547CD5"/>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08138D"/>
    <w:pPr>
      <w:spacing w:after="0" w:line="240" w:lineRule="auto"/>
    </w:pPr>
  </w:style>
  <w:style w:type="character" w:customStyle="1" w:styleId="Heading3Char">
    <w:name w:val="Heading 3 Char"/>
    <w:basedOn w:val="DefaultParagraphFont"/>
    <w:link w:val="Heading3"/>
    <w:uiPriority w:val="9"/>
    <w:rsid w:val="00512087"/>
    <w:rPr>
      <w:rFonts w:ascii="Calibri" w:hAnsi="Calibri" w:cs="Calibri"/>
      <w:b/>
      <w:sz w:val="26"/>
      <w:szCs w:val="26"/>
    </w:rPr>
  </w:style>
  <w:style w:type="paragraph" w:customStyle="1" w:styleId="WendyList">
    <w:name w:val="Wendy List"/>
    <w:basedOn w:val="ListParagraph"/>
    <w:link w:val="WendyListChar"/>
    <w:qFormat/>
    <w:rsid w:val="00A05AE2"/>
    <w:pPr>
      <w:widowControl w:val="0"/>
      <w:numPr>
        <w:numId w:val="19"/>
      </w:numPr>
      <w:autoSpaceDE w:val="0"/>
      <w:autoSpaceDN w:val="0"/>
      <w:adjustRightInd w:val="0"/>
      <w:spacing w:after="0"/>
      <w:contextualSpacing w:val="0"/>
    </w:pPr>
    <w:rPr>
      <w:rFonts w:cs="Calibri"/>
      <w:color w:val="000000"/>
      <w:sz w:val="21"/>
      <w:szCs w:val="21"/>
    </w:rPr>
  </w:style>
  <w:style w:type="character" w:customStyle="1" w:styleId="WendyListChar">
    <w:name w:val="Wendy List Char"/>
    <w:basedOn w:val="ListParagraphChar"/>
    <w:link w:val="WendyList"/>
    <w:rsid w:val="00A05AE2"/>
    <w:rPr>
      <w:rFonts w:cs="Calibri"/>
      <w:color w:val="000000"/>
      <w:sz w:val="21"/>
      <w:szCs w:val="21"/>
    </w:rPr>
  </w:style>
  <w:style w:type="character" w:customStyle="1" w:styleId="ListParagraphChar">
    <w:name w:val="List Paragraph Char"/>
    <w:basedOn w:val="DefaultParagraphFont"/>
    <w:link w:val="ListParagraph"/>
    <w:uiPriority w:val="34"/>
    <w:rsid w:val="00A05AE2"/>
  </w:style>
  <w:style w:type="paragraph" w:styleId="EndnoteText">
    <w:name w:val="endnote text"/>
    <w:basedOn w:val="Normal"/>
    <w:link w:val="EndnoteTextChar"/>
    <w:uiPriority w:val="99"/>
    <w:unhideWhenUsed/>
    <w:rsid w:val="002F235D"/>
    <w:pPr>
      <w:widowControl w:val="0"/>
      <w:autoSpaceDE w:val="0"/>
      <w:autoSpaceDN w:val="0"/>
      <w:adjustRightInd w:val="0"/>
      <w:spacing w:after="0"/>
    </w:pPr>
    <w:rPr>
      <w:rFonts w:cs="Calibri"/>
      <w:color w:val="000000"/>
      <w:sz w:val="21"/>
      <w:szCs w:val="20"/>
    </w:rPr>
  </w:style>
  <w:style w:type="character" w:customStyle="1" w:styleId="EndnoteTextChar">
    <w:name w:val="Endnote Text Char"/>
    <w:basedOn w:val="DefaultParagraphFont"/>
    <w:link w:val="EndnoteText"/>
    <w:uiPriority w:val="99"/>
    <w:rsid w:val="002F235D"/>
    <w:rPr>
      <w:rFonts w:cs="Calibri"/>
      <w:color w:val="000000"/>
      <w:sz w:val="21"/>
      <w:szCs w:val="20"/>
    </w:rPr>
  </w:style>
  <w:style w:type="character" w:styleId="EndnoteReference">
    <w:name w:val="endnote reference"/>
    <w:basedOn w:val="DefaultParagraphFont"/>
    <w:uiPriority w:val="99"/>
    <w:semiHidden/>
    <w:unhideWhenUsed/>
    <w:rsid w:val="002F235D"/>
    <w:rPr>
      <w:rFonts w:cs="Times New Roman"/>
      <w:vertAlign w:val="superscript"/>
    </w:rPr>
  </w:style>
  <w:style w:type="paragraph" w:customStyle="1" w:styleId="Pa15">
    <w:name w:val="Pa15"/>
    <w:basedOn w:val="Default"/>
    <w:next w:val="Default"/>
    <w:uiPriority w:val="99"/>
    <w:rsid w:val="00C416D4"/>
    <w:pPr>
      <w:spacing w:line="221" w:lineRule="atLeast"/>
    </w:pPr>
    <w:rPr>
      <w:rFonts w:cs="Times New Roman"/>
      <w:color w:val="auto"/>
    </w:rPr>
  </w:style>
  <w:style w:type="character" w:customStyle="1" w:styleId="A10">
    <w:name w:val="A10"/>
    <w:uiPriority w:val="99"/>
    <w:rsid w:val="00C416D4"/>
    <w:rPr>
      <w:rFonts w:cs="Calibri"/>
      <w:color w:val="221E1F"/>
      <w:sz w:val="12"/>
      <w:szCs w:val="12"/>
    </w:rPr>
  </w:style>
  <w:style w:type="paragraph" w:styleId="TOCHeading">
    <w:name w:val="TOC Heading"/>
    <w:basedOn w:val="Heading1"/>
    <w:next w:val="Normal"/>
    <w:uiPriority w:val="39"/>
    <w:semiHidden/>
    <w:unhideWhenUsed/>
    <w:qFormat/>
    <w:rsid w:val="00331D16"/>
    <w:pPr>
      <w:keepNext/>
      <w:keepLines/>
      <w:numPr>
        <w:numId w:val="0"/>
      </w:numPr>
      <w:spacing w:after="0" w:line="276" w:lineRule="auto"/>
      <w:outlineLvl w:val="9"/>
    </w:pPr>
    <w:rPr>
      <w:rFonts w:asciiTheme="majorHAnsi"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qFormat/>
    <w:rsid w:val="004D4174"/>
    <w:pPr>
      <w:spacing w:before="360"/>
      <w:ind w:left="425" w:hanging="425"/>
    </w:pPr>
    <w:rPr>
      <w:b/>
    </w:rPr>
  </w:style>
  <w:style w:type="paragraph" w:styleId="TOC2">
    <w:name w:val="toc 2"/>
    <w:basedOn w:val="Normal"/>
    <w:next w:val="Normal"/>
    <w:autoRedefine/>
    <w:uiPriority w:val="39"/>
    <w:unhideWhenUsed/>
    <w:qFormat/>
    <w:rsid w:val="004D4174"/>
    <w:pPr>
      <w:tabs>
        <w:tab w:val="right" w:pos="11907"/>
      </w:tabs>
      <w:ind w:left="1276" w:right="1134" w:hanging="851"/>
    </w:pPr>
  </w:style>
  <w:style w:type="paragraph" w:styleId="TOC3">
    <w:name w:val="toc 3"/>
    <w:basedOn w:val="Normal"/>
    <w:next w:val="Normal"/>
    <w:autoRedefine/>
    <w:uiPriority w:val="39"/>
    <w:unhideWhenUsed/>
    <w:qFormat/>
    <w:rsid w:val="004D4174"/>
    <w:pPr>
      <w:tabs>
        <w:tab w:val="right" w:leader="dot" w:pos="9911"/>
      </w:tabs>
      <w:spacing w:before="0" w:after="0"/>
      <w:ind w:left="851" w:right="1134"/>
    </w:pPr>
    <w:rPr>
      <w:sz w:val="20"/>
    </w:rPr>
  </w:style>
  <w:style w:type="character" w:customStyle="1" w:styleId="pubtitle">
    <w:name w:val="pubtitle"/>
    <w:basedOn w:val="DefaultParagraphFont"/>
    <w:rsid w:val="007D6E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319573">
      <w:bodyDiv w:val="1"/>
      <w:marLeft w:val="0"/>
      <w:marRight w:val="0"/>
      <w:marTop w:val="0"/>
      <w:marBottom w:val="0"/>
      <w:divBdr>
        <w:top w:val="none" w:sz="0" w:space="0" w:color="auto"/>
        <w:left w:val="none" w:sz="0" w:space="0" w:color="auto"/>
        <w:bottom w:val="none" w:sz="0" w:space="0" w:color="auto"/>
        <w:right w:val="none" w:sz="0" w:space="0" w:color="auto"/>
      </w:divBdr>
      <w:divsChild>
        <w:div w:id="1386299920">
          <w:marLeft w:val="0"/>
          <w:marRight w:val="0"/>
          <w:marTop w:val="0"/>
          <w:marBottom w:val="0"/>
          <w:divBdr>
            <w:top w:val="none" w:sz="0" w:space="0" w:color="auto"/>
            <w:left w:val="none" w:sz="0" w:space="0" w:color="auto"/>
            <w:bottom w:val="none" w:sz="0" w:space="0" w:color="auto"/>
            <w:right w:val="none" w:sz="0" w:space="0" w:color="auto"/>
          </w:divBdr>
          <w:divsChild>
            <w:div w:id="1981182963">
              <w:marLeft w:val="0"/>
              <w:marRight w:val="0"/>
              <w:marTop w:val="0"/>
              <w:marBottom w:val="0"/>
              <w:divBdr>
                <w:top w:val="none" w:sz="0" w:space="0" w:color="auto"/>
                <w:left w:val="none" w:sz="0" w:space="0" w:color="auto"/>
                <w:bottom w:val="none" w:sz="0" w:space="0" w:color="auto"/>
                <w:right w:val="none" w:sz="0" w:space="0" w:color="auto"/>
              </w:divBdr>
              <w:divsChild>
                <w:div w:id="2146006084">
                  <w:marLeft w:val="0"/>
                  <w:marRight w:val="0"/>
                  <w:marTop w:val="0"/>
                  <w:marBottom w:val="0"/>
                  <w:divBdr>
                    <w:top w:val="none" w:sz="0" w:space="0" w:color="auto"/>
                    <w:left w:val="none" w:sz="0" w:space="0" w:color="auto"/>
                    <w:bottom w:val="none" w:sz="0" w:space="0" w:color="auto"/>
                    <w:right w:val="none" w:sz="0" w:space="0" w:color="auto"/>
                  </w:divBdr>
                  <w:divsChild>
                    <w:div w:id="1356879664">
                      <w:marLeft w:val="0"/>
                      <w:marRight w:val="0"/>
                      <w:marTop w:val="0"/>
                      <w:marBottom w:val="0"/>
                      <w:divBdr>
                        <w:top w:val="none" w:sz="0" w:space="0" w:color="auto"/>
                        <w:left w:val="none" w:sz="0" w:space="0" w:color="auto"/>
                        <w:bottom w:val="none" w:sz="0" w:space="0" w:color="auto"/>
                        <w:right w:val="none" w:sz="0" w:space="0" w:color="auto"/>
                      </w:divBdr>
                      <w:divsChild>
                        <w:div w:id="1426339249">
                          <w:marLeft w:val="0"/>
                          <w:marRight w:val="0"/>
                          <w:marTop w:val="0"/>
                          <w:marBottom w:val="0"/>
                          <w:divBdr>
                            <w:top w:val="none" w:sz="0" w:space="0" w:color="auto"/>
                            <w:left w:val="none" w:sz="0" w:space="0" w:color="auto"/>
                            <w:bottom w:val="none" w:sz="0" w:space="0" w:color="auto"/>
                            <w:right w:val="none" w:sz="0" w:space="0" w:color="auto"/>
                          </w:divBdr>
                          <w:divsChild>
                            <w:div w:id="1163469882">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397790">
      <w:bodyDiv w:val="1"/>
      <w:marLeft w:val="0"/>
      <w:marRight w:val="0"/>
      <w:marTop w:val="0"/>
      <w:marBottom w:val="0"/>
      <w:divBdr>
        <w:top w:val="none" w:sz="0" w:space="0" w:color="auto"/>
        <w:left w:val="none" w:sz="0" w:space="0" w:color="auto"/>
        <w:bottom w:val="none" w:sz="0" w:space="0" w:color="auto"/>
        <w:right w:val="none" w:sz="0" w:space="0" w:color="auto"/>
      </w:divBdr>
    </w:div>
    <w:div w:id="319892570">
      <w:bodyDiv w:val="1"/>
      <w:marLeft w:val="0"/>
      <w:marRight w:val="0"/>
      <w:marTop w:val="0"/>
      <w:marBottom w:val="0"/>
      <w:divBdr>
        <w:top w:val="none" w:sz="0" w:space="0" w:color="auto"/>
        <w:left w:val="none" w:sz="0" w:space="0" w:color="auto"/>
        <w:bottom w:val="none" w:sz="0" w:space="0" w:color="auto"/>
        <w:right w:val="none" w:sz="0" w:space="0" w:color="auto"/>
      </w:divBdr>
      <w:divsChild>
        <w:div w:id="731343229">
          <w:marLeft w:val="0"/>
          <w:marRight w:val="0"/>
          <w:marTop w:val="0"/>
          <w:marBottom w:val="0"/>
          <w:divBdr>
            <w:top w:val="none" w:sz="0" w:space="0" w:color="auto"/>
            <w:left w:val="none" w:sz="0" w:space="0" w:color="auto"/>
            <w:bottom w:val="none" w:sz="0" w:space="0" w:color="auto"/>
            <w:right w:val="none" w:sz="0" w:space="0" w:color="auto"/>
          </w:divBdr>
          <w:divsChild>
            <w:div w:id="180820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372721">
      <w:bodyDiv w:val="1"/>
      <w:marLeft w:val="0"/>
      <w:marRight w:val="0"/>
      <w:marTop w:val="0"/>
      <w:marBottom w:val="0"/>
      <w:divBdr>
        <w:top w:val="none" w:sz="0" w:space="0" w:color="auto"/>
        <w:left w:val="none" w:sz="0" w:space="0" w:color="auto"/>
        <w:bottom w:val="none" w:sz="0" w:space="0" w:color="auto"/>
        <w:right w:val="none" w:sz="0" w:space="0" w:color="auto"/>
      </w:divBdr>
    </w:div>
    <w:div w:id="606499564">
      <w:bodyDiv w:val="1"/>
      <w:marLeft w:val="0"/>
      <w:marRight w:val="0"/>
      <w:marTop w:val="0"/>
      <w:marBottom w:val="0"/>
      <w:divBdr>
        <w:top w:val="none" w:sz="0" w:space="0" w:color="auto"/>
        <w:left w:val="none" w:sz="0" w:space="0" w:color="auto"/>
        <w:bottom w:val="none" w:sz="0" w:space="0" w:color="auto"/>
        <w:right w:val="none" w:sz="0" w:space="0" w:color="auto"/>
      </w:divBdr>
    </w:div>
    <w:div w:id="614139656">
      <w:bodyDiv w:val="1"/>
      <w:marLeft w:val="0"/>
      <w:marRight w:val="0"/>
      <w:marTop w:val="0"/>
      <w:marBottom w:val="0"/>
      <w:divBdr>
        <w:top w:val="none" w:sz="0" w:space="0" w:color="auto"/>
        <w:left w:val="none" w:sz="0" w:space="0" w:color="auto"/>
        <w:bottom w:val="none" w:sz="0" w:space="0" w:color="auto"/>
        <w:right w:val="none" w:sz="0" w:space="0" w:color="auto"/>
      </w:divBdr>
    </w:div>
    <w:div w:id="803734018">
      <w:bodyDiv w:val="1"/>
      <w:marLeft w:val="0"/>
      <w:marRight w:val="0"/>
      <w:marTop w:val="0"/>
      <w:marBottom w:val="0"/>
      <w:divBdr>
        <w:top w:val="none" w:sz="0" w:space="0" w:color="auto"/>
        <w:left w:val="none" w:sz="0" w:space="0" w:color="auto"/>
        <w:bottom w:val="none" w:sz="0" w:space="0" w:color="auto"/>
        <w:right w:val="none" w:sz="0" w:space="0" w:color="auto"/>
      </w:divBdr>
    </w:div>
    <w:div w:id="1275138213">
      <w:bodyDiv w:val="1"/>
      <w:marLeft w:val="0"/>
      <w:marRight w:val="0"/>
      <w:marTop w:val="0"/>
      <w:marBottom w:val="0"/>
      <w:divBdr>
        <w:top w:val="none" w:sz="0" w:space="0" w:color="auto"/>
        <w:left w:val="none" w:sz="0" w:space="0" w:color="auto"/>
        <w:bottom w:val="none" w:sz="0" w:space="0" w:color="auto"/>
        <w:right w:val="none" w:sz="0" w:space="0" w:color="auto"/>
      </w:divBdr>
    </w:div>
    <w:div w:id="1417049287">
      <w:bodyDiv w:val="1"/>
      <w:marLeft w:val="0"/>
      <w:marRight w:val="0"/>
      <w:marTop w:val="0"/>
      <w:marBottom w:val="0"/>
      <w:divBdr>
        <w:top w:val="none" w:sz="0" w:space="0" w:color="auto"/>
        <w:left w:val="none" w:sz="0" w:space="0" w:color="auto"/>
        <w:bottom w:val="none" w:sz="0" w:space="0" w:color="auto"/>
        <w:right w:val="none" w:sz="0" w:space="0" w:color="auto"/>
      </w:divBdr>
    </w:div>
    <w:div w:id="1780642556">
      <w:bodyDiv w:val="1"/>
      <w:marLeft w:val="0"/>
      <w:marRight w:val="0"/>
      <w:marTop w:val="0"/>
      <w:marBottom w:val="0"/>
      <w:divBdr>
        <w:top w:val="none" w:sz="0" w:space="0" w:color="auto"/>
        <w:left w:val="none" w:sz="0" w:space="0" w:color="auto"/>
        <w:bottom w:val="none" w:sz="0" w:space="0" w:color="auto"/>
        <w:right w:val="none" w:sz="0" w:space="0" w:color="auto"/>
      </w:divBdr>
      <w:divsChild>
        <w:div w:id="190073590">
          <w:marLeft w:val="0"/>
          <w:marRight w:val="0"/>
          <w:marTop w:val="0"/>
          <w:marBottom w:val="0"/>
          <w:divBdr>
            <w:top w:val="none" w:sz="0" w:space="0" w:color="auto"/>
            <w:left w:val="none" w:sz="0" w:space="0" w:color="auto"/>
            <w:bottom w:val="none" w:sz="0" w:space="0" w:color="auto"/>
            <w:right w:val="none" w:sz="0" w:space="0" w:color="auto"/>
          </w:divBdr>
          <w:divsChild>
            <w:div w:id="113845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74756">
      <w:bodyDiv w:val="1"/>
      <w:marLeft w:val="0"/>
      <w:marRight w:val="0"/>
      <w:marTop w:val="0"/>
      <w:marBottom w:val="0"/>
      <w:divBdr>
        <w:top w:val="none" w:sz="0" w:space="0" w:color="auto"/>
        <w:left w:val="none" w:sz="0" w:space="0" w:color="auto"/>
        <w:bottom w:val="none" w:sz="0" w:space="0" w:color="auto"/>
        <w:right w:val="none" w:sz="0" w:space="0" w:color="auto"/>
      </w:divBdr>
    </w:div>
    <w:div w:id="1973555660">
      <w:bodyDiv w:val="1"/>
      <w:marLeft w:val="0"/>
      <w:marRight w:val="0"/>
      <w:marTop w:val="0"/>
      <w:marBottom w:val="0"/>
      <w:divBdr>
        <w:top w:val="none" w:sz="0" w:space="0" w:color="auto"/>
        <w:left w:val="none" w:sz="0" w:space="0" w:color="auto"/>
        <w:bottom w:val="none" w:sz="0" w:space="0" w:color="auto"/>
        <w:right w:val="none" w:sz="0" w:space="0" w:color="auto"/>
      </w:divBdr>
    </w:div>
    <w:div w:id="2048677022">
      <w:bodyDiv w:val="1"/>
      <w:marLeft w:val="0"/>
      <w:marRight w:val="0"/>
      <w:marTop w:val="0"/>
      <w:marBottom w:val="0"/>
      <w:divBdr>
        <w:top w:val="none" w:sz="0" w:space="0" w:color="auto"/>
        <w:left w:val="none" w:sz="0" w:space="0" w:color="auto"/>
        <w:bottom w:val="none" w:sz="0" w:space="0" w:color="auto"/>
        <w:right w:val="none" w:sz="0" w:space="0" w:color="auto"/>
      </w:divBdr>
    </w:div>
    <w:div w:id="2062249210">
      <w:bodyDiv w:val="1"/>
      <w:marLeft w:val="0"/>
      <w:marRight w:val="0"/>
      <w:marTop w:val="0"/>
      <w:marBottom w:val="0"/>
      <w:divBdr>
        <w:top w:val="none" w:sz="0" w:space="0" w:color="auto"/>
        <w:left w:val="none" w:sz="0" w:space="0" w:color="auto"/>
        <w:bottom w:val="none" w:sz="0" w:space="0" w:color="auto"/>
        <w:right w:val="none" w:sz="0" w:space="0" w:color="auto"/>
      </w:divBdr>
      <w:divsChild>
        <w:div w:id="1908493140">
          <w:marLeft w:val="0"/>
          <w:marRight w:val="0"/>
          <w:marTop w:val="0"/>
          <w:marBottom w:val="0"/>
          <w:divBdr>
            <w:top w:val="none" w:sz="0" w:space="0" w:color="auto"/>
            <w:left w:val="none" w:sz="0" w:space="0" w:color="auto"/>
            <w:bottom w:val="none" w:sz="0" w:space="0" w:color="auto"/>
            <w:right w:val="none" w:sz="0" w:space="0" w:color="auto"/>
          </w:divBdr>
          <w:divsChild>
            <w:div w:id="14248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hpra.gov.au/"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chc.org.au/Registration-of-Practitioner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hc.org.au/Registration-of-Practitioners" TargetMode="External"/><Relationship Id="rId5" Type="http://schemas.openxmlformats.org/officeDocument/2006/relationships/settings" Target="settings.xml"/><Relationship Id="rId15" Type="http://schemas.openxmlformats.org/officeDocument/2006/relationships/hyperlink" Target="http://chc.org.au/Registration-of-Practitioners" TargetMode="External"/><Relationship Id="rId10" Type="http://schemas.openxmlformats.org/officeDocument/2006/relationships/hyperlink" Target="http://moodle.chc.org.au/mod/questionnaire/view.php?id=275"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hc.org.au" TargetMode="External"/><Relationship Id="rId14" Type="http://schemas.openxmlformats.org/officeDocument/2006/relationships/hyperlink" Target="mailto:shanna.choudhary@chc.org.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tga.gov.au/industry/advertising-schedule1-explained.htm" TargetMode="External"/><Relationship Id="rId7" Type="http://schemas.openxmlformats.org/officeDocument/2006/relationships/hyperlink" Target="http://www.tga.gov.au/industry/advertising-framework-120529.htm" TargetMode="External"/><Relationship Id="rId2" Type="http://schemas.openxmlformats.org/officeDocument/2006/relationships/hyperlink" Target="http://health.gov.au/internet/main/publishing.nsf/Content/phi-natural-therapies" TargetMode="External"/><Relationship Id="rId1" Type="http://schemas.openxmlformats.org/officeDocument/2006/relationships/hyperlink" Target="http://www.tga.gov.au/industry/ivd-framework-overview.htm" TargetMode="External"/><Relationship Id="rId6" Type="http://schemas.openxmlformats.org/officeDocument/2006/relationships/hyperlink" Target="http://www.health.gov.au/internet/main/publishing.nsf/Content/currentissue-P12000015" TargetMode="External"/><Relationship Id="rId5" Type="http://schemas.openxmlformats.org/officeDocument/2006/relationships/hyperlink" Target="http://www.abs.gov.au/ausstats/abs@.nsf/lookup/4102.0chapter5202008" TargetMode="External"/><Relationship Id="rId4" Type="http://schemas.openxmlformats.org/officeDocument/2006/relationships/hyperlink" Target="http://www.tga.gov.au/pdf/consult/consult-advertising-ris-130531.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E920C-4FCA-465E-B583-5B6720BB7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2933</Words>
  <Characters>16724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Hawker Britton</Company>
  <LinksUpToDate>false</LinksUpToDate>
  <CharactersWithSpaces>19618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Shanna Choudhary</cp:lastModifiedBy>
  <cp:revision>5</cp:revision>
  <cp:lastPrinted>2013-05-10T01:59:00Z</cp:lastPrinted>
  <dcterms:created xsi:type="dcterms:W3CDTF">2013-07-04T01:54:00Z</dcterms:created>
  <dcterms:modified xsi:type="dcterms:W3CDTF">2013-07-04T04:24:00Z</dcterms:modified>
</cp:coreProperties>
</file>