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9B" w:rsidRDefault="00272E9B">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6F6284" w:rsidTr="00584285">
        <w:tc>
          <w:tcPr>
            <w:tcW w:w="8720" w:type="dxa"/>
          </w:tcPr>
          <w:p w:rsidR="00584285" w:rsidRPr="00CB73C5" w:rsidRDefault="0062387D" w:rsidP="002E193A">
            <w:pPr>
              <w:pStyle w:val="Title"/>
            </w:pPr>
            <w:r>
              <w:t>Complementary medicines reforms</w:t>
            </w:r>
          </w:p>
        </w:tc>
      </w:tr>
      <w:tr w:rsidR="006F6284" w:rsidRPr="00B60B1D" w:rsidTr="00584285">
        <w:trPr>
          <w:trHeight w:val="1916"/>
        </w:trPr>
        <w:tc>
          <w:tcPr>
            <w:tcW w:w="8720" w:type="dxa"/>
          </w:tcPr>
          <w:p w:rsidR="00272E9B" w:rsidRPr="00272E9B" w:rsidRDefault="0062387D" w:rsidP="00272E9B">
            <w:pPr>
              <w:pStyle w:val="Subtitle"/>
              <w:ind w:left="0"/>
              <w:rPr>
                <w:szCs w:val="40"/>
              </w:rPr>
            </w:pPr>
            <w:r>
              <w:rPr>
                <w:szCs w:val="40"/>
              </w:rPr>
              <w:t>Standard/coded indications project</w:t>
            </w:r>
          </w:p>
          <w:p w:rsidR="00272E9B" w:rsidRPr="00B60B1D" w:rsidRDefault="00272E9B" w:rsidP="00272E9B">
            <w:pPr>
              <w:pStyle w:val="Subtitle"/>
              <w:ind w:left="0"/>
              <w:rPr>
                <w:sz w:val="32"/>
                <w:szCs w:val="32"/>
              </w:rPr>
            </w:pPr>
          </w:p>
        </w:tc>
      </w:tr>
      <w:tr w:rsidR="006F6284" w:rsidTr="00584285">
        <w:tc>
          <w:tcPr>
            <w:tcW w:w="8720" w:type="dxa"/>
          </w:tcPr>
          <w:p w:rsidR="00983BBF" w:rsidRPr="00272E9B" w:rsidRDefault="00983BBF" w:rsidP="00983BBF">
            <w:pPr>
              <w:pStyle w:val="Subtitle"/>
              <w:ind w:left="0"/>
            </w:pPr>
          </w:p>
        </w:tc>
      </w:tr>
    </w:tbl>
    <w:p w:rsidR="00983BBF" w:rsidRPr="00272E9B" w:rsidRDefault="00983BBF" w:rsidP="00272E9B">
      <w:pPr>
        <w:pStyle w:val="Subtitle"/>
        <w:ind w:left="0"/>
        <w:rPr>
          <w:color w:val="auto"/>
          <w:sz w:val="32"/>
          <w:szCs w:val="32"/>
        </w:rPr>
      </w:pPr>
      <w:r w:rsidRPr="00272E9B">
        <w:rPr>
          <w:color w:val="auto"/>
          <w:sz w:val="32"/>
          <w:szCs w:val="32"/>
        </w:rPr>
        <w:t>Version 1, August 2012</w:t>
      </w:r>
    </w:p>
    <w:p w:rsidR="00EF6895" w:rsidRDefault="00FD507B" w:rsidP="00B24FF5">
      <w:pPr>
        <w:pStyle w:val="ListBullet"/>
        <w:numPr>
          <w:ilvl w:val="0"/>
          <w:numId w:val="0"/>
        </w:numPr>
      </w:pPr>
      <w:r>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13303" o:spid="_x0000_s1271" type="#_x0000_t136" style="position:absolute;margin-left:-18.95pt;margin-top:265.05pt;width:535.5pt;height:202.5pt;rotation:315;z-index:251814912;mso-position-horizontal-relative:margin;mso-position-vertical-relative:margin" o:allowincell="f" fillcolor="#4a8485" stroked="f">
            <v:fill opacity=".5"/>
            <v:textpath style="font-family:&quot;Arial Black&quot;;font-size:2in" string="DRAFT"/>
            <w10:wrap anchorx="margin" anchory="margin"/>
          </v:shape>
        </w:pict>
      </w:r>
    </w:p>
    <w:p w:rsidR="00B24FF5" w:rsidRDefault="00120C12" w:rsidP="00B24FF5">
      <w:pPr>
        <w:pStyle w:val="ListBullet"/>
        <w:numPr>
          <w:ilvl w:val="0"/>
          <w:numId w:val="0"/>
        </w:numPr>
      </w:pPr>
      <w:r>
        <w:rPr>
          <w:noProof/>
          <w:lang w:eastAsia="en-AU"/>
        </w:rPr>
        <w:drawing>
          <wp:anchor distT="0" distB="0" distL="114300" distR="114300" simplePos="0" relativeHeight="251657215" behindDoc="1" locked="0" layoutInCell="0" allowOverlap="1" wp14:anchorId="5BF16F7B" wp14:editId="584EB2C0">
            <wp:simplePos x="0" y="0"/>
            <wp:positionH relativeFrom="page">
              <wp:posOffset>53340</wp:posOffset>
            </wp:positionH>
            <wp:positionV relativeFrom="page">
              <wp:posOffset>5569585</wp:posOffset>
            </wp:positionV>
            <wp:extent cx="7581900" cy="2449830"/>
            <wp:effectExtent l="19050" t="0" r="0" b="0"/>
            <wp:wrapNone/>
            <wp:docPr id="8" name="Picture 5"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etct\Desktop\TGA-Swoosh-w-Wordmark-CMYK.gif"/>
                    <pic:cNvPicPr>
                      <a:picLocks noChangeAspect="1" noChangeArrowheads="1"/>
                    </pic:cNvPicPr>
                  </pic:nvPicPr>
                  <pic:blipFill>
                    <a:blip r:embed="rId9" cstate="print"/>
                    <a:srcRect/>
                    <a:stretch>
                      <a:fillRect/>
                    </a:stretch>
                  </pic:blipFill>
                  <pic:spPr bwMode="auto">
                    <a:xfrm>
                      <a:off x="0" y="0"/>
                      <a:ext cx="7581900" cy="2449830"/>
                    </a:xfrm>
                    <a:prstGeom prst="rect">
                      <a:avLst/>
                    </a:prstGeom>
                    <a:noFill/>
                    <a:ln w="9525">
                      <a:noFill/>
                      <a:miter lim="800000"/>
                      <a:headEnd/>
                      <a:tailEnd/>
                    </a:ln>
                  </pic:spPr>
                </pic:pic>
              </a:graphicData>
            </a:graphic>
          </wp:anchor>
        </w:drawing>
      </w:r>
    </w:p>
    <w:p w:rsidR="00B24FF5" w:rsidRDefault="00B24FF5" w:rsidP="00B24FF5">
      <w:pPr>
        <w:pStyle w:val="ListBullet"/>
        <w:numPr>
          <w:ilvl w:val="0"/>
          <w:numId w:val="0"/>
        </w:numPr>
        <w:sectPr w:rsidR="00B24FF5" w:rsidSect="00703CA4">
          <w:headerReference w:type="default" r:id="rId10"/>
          <w:footerReference w:type="default" r:id="rId11"/>
          <w:headerReference w:type="first" r:id="rId12"/>
          <w:footerReference w:type="first" r:id="rId13"/>
          <w:type w:val="continuous"/>
          <w:pgSz w:w="11906" w:h="16838" w:code="9"/>
          <w:pgMar w:top="2807" w:right="1701" w:bottom="0" w:left="1701" w:header="992" w:footer="0" w:gutter="0"/>
          <w:cols w:space="708"/>
          <w:titlePg/>
          <w:docGrid w:linePitch="360"/>
        </w:sectPr>
      </w:pPr>
    </w:p>
    <w:p w:rsidR="00584285" w:rsidRDefault="00120C12" w:rsidP="00120C12">
      <w:pPr>
        <w:pStyle w:val="NonTOCHeading2"/>
      </w:pPr>
      <w:r w:rsidRPr="00B21FC5">
        <w:t>About the Therapeutic Goods Administration (TGA)</w:t>
      </w:r>
    </w:p>
    <w:p w:rsidR="00B21FC5" w:rsidRPr="00B21FC5" w:rsidRDefault="00B21FC5" w:rsidP="00B21FC5">
      <w:pPr>
        <w:pStyle w:val="ListBullet"/>
      </w:pPr>
      <w:r w:rsidRPr="00B21FC5">
        <w:t>The TGA is a division of the Australian Government Department of Health and Ageing, and is</w:t>
      </w:r>
      <w:r>
        <w:t xml:space="preserve"> </w:t>
      </w:r>
      <w:r w:rsidRPr="00B21FC5">
        <w:t>responsible for regulating medicines and medical devices.</w:t>
      </w:r>
    </w:p>
    <w:p w:rsidR="00B21FC5" w:rsidRPr="00B21FC5" w:rsidRDefault="00B21FC5" w:rsidP="00B21FC5">
      <w:pPr>
        <w:pStyle w:val="ListBullet"/>
      </w:pPr>
      <w:r w:rsidRPr="00B21FC5">
        <w:t xml:space="preserve"> TGA administers the </w:t>
      </w:r>
      <w:r w:rsidRPr="00B21FC5">
        <w:rPr>
          <w:i/>
          <w:iCs/>
        </w:rPr>
        <w:t xml:space="preserve">Therapeutic Goods Act </w:t>
      </w:r>
      <w:r w:rsidRPr="00B21FC5">
        <w:t>1989 (the Act), applying a risk management</w:t>
      </w:r>
      <w:r>
        <w:t xml:space="preserve"> </w:t>
      </w:r>
      <w:r w:rsidRPr="00B21FC5">
        <w:t>approach designed to ensure therapeutic goods supplied in Australia meet acceptable standards</w:t>
      </w:r>
      <w:r>
        <w:t xml:space="preserve"> </w:t>
      </w:r>
      <w:r w:rsidRPr="00B21FC5">
        <w:t>of quality, safety and efficacy (performance), when necessary.</w:t>
      </w:r>
    </w:p>
    <w:p w:rsidR="00B21FC5" w:rsidRPr="00B21FC5" w:rsidRDefault="00B21FC5" w:rsidP="00B21FC5">
      <w:pPr>
        <w:pStyle w:val="ListBullet"/>
      </w:pPr>
      <w:r w:rsidRPr="00B21FC5">
        <w:t>The work of the TGA is based on applying scientific and clinical expertise to decision-making, to</w:t>
      </w:r>
      <w:r>
        <w:t xml:space="preserve"> </w:t>
      </w:r>
      <w:r w:rsidRPr="00B21FC5">
        <w:t>ensure that the benefits to consumers outweigh any risks associated with the use of medicines</w:t>
      </w:r>
      <w:r>
        <w:t xml:space="preserve"> </w:t>
      </w:r>
      <w:r w:rsidRPr="00B21FC5">
        <w:t>and medical devices.</w:t>
      </w:r>
    </w:p>
    <w:p w:rsidR="00B21FC5" w:rsidRPr="00B21FC5" w:rsidRDefault="00B21FC5" w:rsidP="00B21FC5">
      <w:pPr>
        <w:pStyle w:val="ListBullet"/>
      </w:pPr>
      <w:r w:rsidRPr="00B21FC5">
        <w:t>The TGA relies on the public, healthcare professionals and industry to report problems</w:t>
      </w:r>
      <w:r>
        <w:t xml:space="preserve"> </w:t>
      </w:r>
      <w:r w:rsidRPr="00B21FC5">
        <w:t>with medicines or medical devices. TGA investigates reports received by it to determine any</w:t>
      </w:r>
      <w:r>
        <w:t xml:space="preserve"> </w:t>
      </w:r>
      <w:r w:rsidRPr="00B21FC5">
        <w:t>necessary regulatory action.</w:t>
      </w:r>
    </w:p>
    <w:p w:rsidR="005D1689" w:rsidRDefault="00B21FC5" w:rsidP="00DD76DE">
      <w:pPr>
        <w:pStyle w:val="ListBullet"/>
      </w:pPr>
      <w:r w:rsidRPr="00B21FC5">
        <w:t>To report a problem with a medicine or medical device, please see the information on the TGA</w:t>
      </w:r>
      <w:r>
        <w:t xml:space="preserve"> w</w:t>
      </w:r>
      <w:r w:rsidRPr="00B21FC5">
        <w:t>ebsite</w:t>
      </w:r>
      <w:r w:rsidR="00753A56">
        <w:t xml:space="preserve"> </w:t>
      </w:r>
      <w:r w:rsidR="00753A56">
        <w:rPr>
          <w:rFonts w:cs="Arial"/>
          <w:lang w:val="en-GB"/>
        </w:rPr>
        <w:t>&lt;</w:t>
      </w:r>
      <w:hyperlink r:id="rId14" w:history="1">
        <w:r w:rsidR="00753A56" w:rsidRPr="00753A56">
          <w:rPr>
            <w:rStyle w:val="Hyperlink"/>
          </w:rPr>
          <w:t>www.tga.gov.au</w:t>
        </w:r>
      </w:hyperlink>
      <w:r w:rsidR="00753A56">
        <w:rPr>
          <w:rFonts w:cs="Arial"/>
          <w:lang w:val="en-GB"/>
        </w:rPr>
        <w:t>&gt;.</w:t>
      </w:r>
    </w:p>
    <w:p w:rsidR="005D1689" w:rsidRPr="00DF1D7F" w:rsidRDefault="005D1689" w:rsidP="00625015">
      <w:pPr>
        <w:pStyle w:val="LegalSubheading"/>
        <w:spacing w:before="6720"/>
      </w:pPr>
      <w:r w:rsidRPr="00DF1D7F">
        <w:t>Copyright</w:t>
      </w:r>
    </w:p>
    <w:p w:rsidR="00E177F4" w:rsidRDefault="005D1689" w:rsidP="00E177F4">
      <w:pPr>
        <w:pStyle w:val="LegalCopy"/>
        <w:rPr>
          <w:rFonts w:cs="Arial"/>
        </w:rPr>
      </w:pPr>
      <w:r w:rsidRPr="00191B3B">
        <w:rPr>
          <w:rFonts w:cs="Arial"/>
          <w:lang w:val="en-GB"/>
        </w:rPr>
        <w:t>© Comm</w:t>
      </w:r>
      <w:r>
        <w:rPr>
          <w:rFonts w:cs="Arial"/>
          <w:lang w:val="en-GB"/>
        </w:rPr>
        <w:t>onwealth of Australia 2012</w:t>
      </w:r>
      <w:r w:rsidRPr="00191B3B">
        <w:rPr>
          <w:rFonts w:cs="Arial"/>
          <w:lang w:val="en-GB"/>
        </w:rPr>
        <w:br/>
      </w:r>
      <w:proofErr w:type="gramStart"/>
      <w:r w:rsidRPr="00191B3B">
        <w:rPr>
          <w:rFonts w:cs="Arial"/>
          <w:lang w:val="en-GB"/>
        </w:rPr>
        <w:t>This</w:t>
      </w:r>
      <w:proofErr w:type="gramEnd"/>
      <w:r w:rsidRPr="00191B3B">
        <w:rPr>
          <w:rFonts w:cs="Arial"/>
          <w:lang w:val="en-GB"/>
        </w:rPr>
        <w:t xml:space="preserve">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191B3B">
        <w:rPr>
          <w:rFonts w:cs="Arial"/>
          <w:i/>
          <w:lang w:val="en-GB"/>
        </w:rPr>
        <w:t>Copyright Act 1968</w:t>
      </w:r>
      <w:r w:rsidRPr="00191B3B">
        <w:rPr>
          <w:rFonts w:cs="Arial"/>
          <w:lang w:val="en-GB"/>
        </w:rPr>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t>
      </w:r>
      <w:proofErr w:type="spellStart"/>
      <w:r w:rsidRPr="00191B3B">
        <w:rPr>
          <w:rFonts w:cs="Arial"/>
          <w:lang w:val="en-GB"/>
        </w:rPr>
        <w:t>Woden</w:t>
      </w:r>
      <w:proofErr w:type="spellEnd"/>
      <w:r w:rsidRPr="00191B3B">
        <w:rPr>
          <w:rFonts w:cs="Arial"/>
          <w:lang w:val="en-GB"/>
        </w:rPr>
        <w:t xml:space="preserve"> ACT 2606 or emailed to &lt;</w:t>
      </w:r>
      <w:hyperlink r:id="rId15" w:history="1">
        <w:r w:rsidRPr="00191B3B">
          <w:rPr>
            <w:rStyle w:val="Hyperlink"/>
            <w:rFonts w:cs="Arial"/>
            <w:lang w:val="en-GB"/>
          </w:rPr>
          <w:t>tga.copyright@tga.gov.au</w:t>
        </w:r>
      </w:hyperlink>
      <w:r w:rsidRPr="00191B3B">
        <w:rPr>
          <w:rFonts w:cs="Arial"/>
        </w:rPr>
        <w:t>&gt;.</w:t>
      </w:r>
    </w:p>
    <w:p w:rsidR="00404B57" w:rsidRDefault="00404B57" w:rsidP="00E177F4">
      <w:pPr>
        <w:pStyle w:val="LegalCopy"/>
        <w:rPr>
          <w:rFonts w:cs="Arial"/>
        </w:rPr>
      </w:pPr>
    </w:p>
    <w:p w:rsidR="000B30E5" w:rsidRDefault="000B30E5" w:rsidP="00E177F4">
      <w:pPr>
        <w:pStyle w:val="NonTOCHeading2"/>
      </w:pPr>
      <w:r>
        <w:lastRenderedPageBreak/>
        <w:t>Version history</w:t>
      </w:r>
    </w:p>
    <w:tbl>
      <w:tblPr>
        <w:tblStyle w:val="TableTGAblack"/>
        <w:tblW w:w="9038" w:type="dxa"/>
        <w:tblLayout w:type="fixed"/>
        <w:tblLook w:val="04A0" w:firstRow="1" w:lastRow="0" w:firstColumn="1" w:lastColumn="0" w:noHBand="0" w:noVBand="1"/>
      </w:tblPr>
      <w:tblGrid>
        <w:gridCol w:w="1276"/>
        <w:gridCol w:w="3510"/>
        <w:gridCol w:w="2444"/>
        <w:gridCol w:w="1808"/>
      </w:tblGrid>
      <w:tr w:rsidR="000B30E5" w:rsidTr="00B60B1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276" w:type="dxa"/>
          </w:tcPr>
          <w:p w:rsidR="000B30E5" w:rsidRDefault="000B30E5" w:rsidP="00301FA3">
            <w:r>
              <w:t>Version</w:t>
            </w:r>
          </w:p>
        </w:tc>
        <w:tc>
          <w:tcPr>
            <w:tcW w:w="3510" w:type="dxa"/>
          </w:tcPr>
          <w:p w:rsidR="000B30E5" w:rsidRDefault="000B30E5" w:rsidP="00301FA3">
            <w:pPr>
              <w:cnfStyle w:val="100000000000" w:firstRow="1" w:lastRow="0" w:firstColumn="0" w:lastColumn="0" w:oddVBand="0" w:evenVBand="0" w:oddHBand="0" w:evenHBand="0" w:firstRowFirstColumn="0" w:firstRowLastColumn="0" w:lastRowFirstColumn="0" w:lastRowLastColumn="0"/>
            </w:pPr>
            <w:r>
              <w:t>Description of change</w:t>
            </w:r>
          </w:p>
        </w:tc>
        <w:tc>
          <w:tcPr>
            <w:tcW w:w="2444" w:type="dxa"/>
          </w:tcPr>
          <w:p w:rsidR="000B30E5" w:rsidRDefault="000B30E5" w:rsidP="00301FA3">
            <w:pPr>
              <w:cnfStyle w:val="100000000000" w:firstRow="1" w:lastRow="0" w:firstColumn="0" w:lastColumn="0" w:oddVBand="0" w:evenVBand="0" w:oddHBand="0" w:evenHBand="0" w:firstRowFirstColumn="0" w:firstRowLastColumn="0" w:lastRowFirstColumn="0" w:lastRowLastColumn="0"/>
            </w:pPr>
            <w:r>
              <w:t>Author</w:t>
            </w:r>
          </w:p>
        </w:tc>
        <w:tc>
          <w:tcPr>
            <w:tcW w:w="1808" w:type="dxa"/>
          </w:tcPr>
          <w:p w:rsidR="000B30E5" w:rsidRDefault="000B30E5" w:rsidP="00301FA3">
            <w:pPr>
              <w:cnfStyle w:val="100000000000" w:firstRow="1" w:lastRow="0" w:firstColumn="0" w:lastColumn="0" w:oddVBand="0" w:evenVBand="0" w:oddHBand="0" w:evenHBand="0" w:firstRowFirstColumn="0" w:firstRowLastColumn="0" w:lastRowFirstColumn="0" w:lastRowLastColumn="0"/>
            </w:pPr>
            <w:r>
              <w:t>Effective date</w:t>
            </w:r>
          </w:p>
        </w:tc>
      </w:tr>
      <w:tr w:rsidR="000B30E5" w:rsidTr="00B60B1D">
        <w:trPr>
          <w:trHeight w:val="1418"/>
        </w:trPr>
        <w:tc>
          <w:tcPr>
            <w:tcW w:w="1276" w:type="dxa"/>
          </w:tcPr>
          <w:p w:rsidR="000B30E5" w:rsidRDefault="000B30E5" w:rsidP="00301FA3">
            <w:r>
              <w:t>V1.0</w:t>
            </w:r>
          </w:p>
        </w:tc>
        <w:tc>
          <w:tcPr>
            <w:tcW w:w="3510" w:type="dxa"/>
          </w:tcPr>
          <w:p w:rsidR="000B30E5" w:rsidRDefault="00983BBF" w:rsidP="00983BBF">
            <w:r>
              <w:t xml:space="preserve">Draft document </w:t>
            </w:r>
            <w:r w:rsidR="0062387D">
              <w:t xml:space="preserve">provided to the </w:t>
            </w:r>
            <w:r>
              <w:t>Informal Working Group on Complementary Medicines</w:t>
            </w:r>
          </w:p>
          <w:p w:rsidR="00B60B1D" w:rsidRPr="0062387D" w:rsidRDefault="00B60B1D" w:rsidP="00983BBF">
            <w:pPr>
              <w:rPr>
                <w:b/>
              </w:rPr>
            </w:pPr>
            <w:r w:rsidRPr="0062387D">
              <w:rPr>
                <w:b/>
              </w:rPr>
              <w:t>NOT FOR WIDER DISTRIBUTION</w:t>
            </w:r>
            <w:r w:rsidR="0062387D">
              <w:rPr>
                <w:b/>
              </w:rPr>
              <w:t xml:space="preserve"> OR PUBLICATION</w:t>
            </w:r>
          </w:p>
        </w:tc>
        <w:tc>
          <w:tcPr>
            <w:tcW w:w="2444" w:type="dxa"/>
          </w:tcPr>
          <w:p w:rsidR="000B30E5" w:rsidRDefault="00983BBF" w:rsidP="00301FA3">
            <w:r>
              <w:t>OCM/TGA</w:t>
            </w:r>
          </w:p>
          <w:p w:rsidR="00B60B1D" w:rsidRDefault="00B60B1D" w:rsidP="00301FA3">
            <w:r>
              <w:t>TRIM R12/960993</w:t>
            </w:r>
          </w:p>
        </w:tc>
        <w:tc>
          <w:tcPr>
            <w:tcW w:w="1808" w:type="dxa"/>
          </w:tcPr>
          <w:p w:rsidR="000B30E5" w:rsidRDefault="00983BBF" w:rsidP="00301FA3">
            <w:r>
              <w:t>August 2012</w:t>
            </w:r>
          </w:p>
        </w:tc>
      </w:tr>
      <w:tr w:rsidR="000B30E5" w:rsidTr="00B60B1D">
        <w:trPr>
          <w:trHeight w:val="1418"/>
        </w:trPr>
        <w:tc>
          <w:tcPr>
            <w:tcW w:w="1276" w:type="dxa"/>
          </w:tcPr>
          <w:p w:rsidR="000B30E5" w:rsidRDefault="000B30E5" w:rsidP="00301FA3"/>
        </w:tc>
        <w:tc>
          <w:tcPr>
            <w:tcW w:w="3510" w:type="dxa"/>
          </w:tcPr>
          <w:p w:rsidR="000B30E5" w:rsidRDefault="000B30E5" w:rsidP="00301FA3"/>
        </w:tc>
        <w:tc>
          <w:tcPr>
            <w:tcW w:w="2444" w:type="dxa"/>
          </w:tcPr>
          <w:p w:rsidR="000B30E5" w:rsidRDefault="000B30E5" w:rsidP="00301FA3"/>
        </w:tc>
        <w:tc>
          <w:tcPr>
            <w:tcW w:w="1808" w:type="dxa"/>
          </w:tcPr>
          <w:p w:rsidR="000B30E5" w:rsidRDefault="000B30E5" w:rsidP="00301FA3"/>
        </w:tc>
      </w:tr>
      <w:tr w:rsidR="000B30E5" w:rsidTr="00B60B1D">
        <w:trPr>
          <w:trHeight w:val="1418"/>
        </w:trPr>
        <w:tc>
          <w:tcPr>
            <w:tcW w:w="1276" w:type="dxa"/>
          </w:tcPr>
          <w:p w:rsidR="000B30E5" w:rsidRDefault="000B30E5" w:rsidP="00301FA3"/>
        </w:tc>
        <w:tc>
          <w:tcPr>
            <w:tcW w:w="3510" w:type="dxa"/>
          </w:tcPr>
          <w:p w:rsidR="000B30E5" w:rsidRDefault="000B30E5" w:rsidP="00301FA3"/>
        </w:tc>
        <w:tc>
          <w:tcPr>
            <w:tcW w:w="2444" w:type="dxa"/>
          </w:tcPr>
          <w:p w:rsidR="000B30E5" w:rsidRDefault="000B30E5" w:rsidP="00301FA3"/>
        </w:tc>
        <w:tc>
          <w:tcPr>
            <w:tcW w:w="1808" w:type="dxa"/>
          </w:tcPr>
          <w:p w:rsidR="000B30E5" w:rsidRDefault="000B30E5" w:rsidP="00301FA3"/>
        </w:tc>
      </w:tr>
    </w:tbl>
    <w:p w:rsidR="00F427F0" w:rsidRDefault="00F427F0" w:rsidP="00F427F0"/>
    <w:p w:rsidR="000D0851" w:rsidRDefault="000D0851" w:rsidP="00493FF6">
      <w:pPr>
        <w:tabs>
          <w:tab w:val="left" w:pos="6068"/>
        </w:tabs>
        <w:spacing w:before="0" w:after="0" w:line="240" w:lineRule="auto"/>
      </w:pPr>
      <w:r>
        <w:br w:type="page"/>
      </w:r>
      <w:r w:rsidR="00493FF6">
        <w:lastRenderedPageBreak/>
        <w:tab/>
      </w:r>
    </w:p>
    <w:sdt>
      <w:sdtPr>
        <w:rPr>
          <w:rFonts w:ascii="Cambria" w:hAnsi="Cambria"/>
          <w:b w:val="0"/>
          <w:sz w:val="22"/>
        </w:rPr>
        <w:id w:val="5618017"/>
        <w:docPartObj>
          <w:docPartGallery w:val="Table of Contents"/>
          <w:docPartUnique/>
        </w:docPartObj>
      </w:sdtPr>
      <w:sdtContent>
        <w:p w:rsidR="00A97CD0" w:rsidRDefault="00A97CD0" w:rsidP="00A97CD0">
          <w:pPr>
            <w:pStyle w:val="Contents"/>
            <w:rPr>
              <w:rFonts w:asciiTheme="majorHAnsi" w:hAnsiTheme="majorHAnsi" w:cstheme="majorHAnsi"/>
              <w:b w:val="0"/>
              <w:sz w:val="24"/>
              <w:szCs w:val="24"/>
            </w:rPr>
          </w:pPr>
          <w:r>
            <w:rPr>
              <w:rFonts w:asciiTheme="majorHAnsi" w:hAnsiTheme="majorHAnsi" w:cstheme="majorHAnsi"/>
              <w:szCs w:val="64"/>
            </w:rPr>
            <w:t>Contents</w:t>
          </w:r>
        </w:p>
        <w:p w:rsidR="00A97CD0" w:rsidRDefault="008765B3">
          <w:pPr>
            <w:pStyle w:val="TOC1"/>
            <w:rPr>
              <w:rFonts w:asciiTheme="minorHAnsi" w:eastAsiaTheme="minorEastAsia" w:hAnsiTheme="minorHAnsi" w:cstheme="minorBidi"/>
              <w:b w:val="0"/>
              <w:noProof/>
              <w:sz w:val="22"/>
              <w:lang w:eastAsia="en-AU"/>
            </w:rPr>
          </w:pPr>
          <w:r>
            <w:rPr>
              <w:rFonts w:asciiTheme="majorHAnsi" w:hAnsiTheme="majorHAnsi" w:cstheme="majorHAnsi"/>
              <w:b w:val="0"/>
              <w:sz w:val="24"/>
              <w:szCs w:val="24"/>
            </w:rPr>
            <w:fldChar w:fldCharType="begin"/>
          </w:r>
          <w:r w:rsidR="00A97CD0">
            <w:rPr>
              <w:rFonts w:asciiTheme="majorHAnsi" w:hAnsiTheme="majorHAnsi" w:cstheme="majorHAnsi"/>
              <w:b w:val="0"/>
              <w:sz w:val="24"/>
              <w:szCs w:val="24"/>
            </w:rPr>
            <w:instrText xml:space="preserve"> TOC \h \z \u \t "Heading 2,1,Heading 3,2,Heading 4,3" </w:instrText>
          </w:r>
          <w:r>
            <w:rPr>
              <w:rFonts w:asciiTheme="majorHAnsi" w:hAnsiTheme="majorHAnsi" w:cstheme="majorHAnsi"/>
              <w:b w:val="0"/>
              <w:sz w:val="24"/>
              <w:szCs w:val="24"/>
            </w:rPr>
            <w:fldChar w:fldCharType="separate"/>
          </w:r>
          <w:hyperlink w:anchor="_Toc331689821" w:history="1">
            <w:r w:rsidR="00A97CD0" w:rsidRPr="005B578D">
              <w:rPr>
                <w:rStyle w:val="Hyperlink"/>
                <w:noProof/>
              </w:rPr>
              <w:t>Introduction</w:t>
            </w:r>
            <w:r w:rsidR="00A97CD0">
              <w:rPr>
                <w:noProof/>
                <w:webHidden/>
              </w:rPr>
              <w:tab/>
            </w:r>
            <w:r>
              <w:rPr>
                <w:noProof/>
                <w:webHidden/>
              </w:rPr>
              <w:fldChar w:fldCharType="begin"/>
            </w:r>
            <w:r w:rsidR="00A97CD0">
              <w:rPr>
                <w:noProof/>
                <w:webHidden/>
              </w:rPr>
              <w:instrText xml:space="preserve"> PAGEREF _Toc331689821 \h </w:instrText>
            </w:r>
            <w:r>
              <w:rPr>
                <w:noProof/>
                <w:webHidden/>
              </w:rPr>
            </w:r>
            <w:r>
              <w:rPr>
                <w:noProof/>
                <w:webHidden/>
              </w:rPr>
              <w:fldChar w:fldCharType="separate"/>
            </w:r>
            <w:r w:rsidR="006F0419">
              <w:rPr>
                <w:noProof/>
                <w:webHidden/>
              </w:rPr>
              <w:t>5</w:t>
            </w:r>
            <w:r>
              <w:rPr>
                <w:noProof/>
                <w:webHidden/>
              </w:rPr>
              <w:fldChar w:fldCharType="end"/>
            </w:r>
          </w:hyperlink>
        </w:p>
        <w:p w:rsidR="00A97CD0" w:rsidRDefault="00FD507B">
          <w:pPr>
            <w:pStyle w:val="TOC2"/>
            <w:rPr>
              <w:rFonts w:asciiTheme="minorHAnsi" w:eastAsiaTheme="minorEastAsia" w:hAnsiTheme="minorHAnsi" w:cstheme="minorBidi"/>
              <w:b w:val="0"/>
              <w:noProof/>
              <w:sz w:val="22"/>
              <w:lang w:eastAsia="en-AU"/>
            </w:rPr>
          </w:pPr>
          <w:hyperlink w:anchor="_Toc331689822" w:history="1">
            <w:r w:rsidR="00A97CD0" w:rsidRPr="005B578D">
              <w:rPr>
                <w:rStyle w:val="Hyperlink"/>
                <w:noProof/>
              </w:rPr>
              <w:t>Background</w:t>
            </w:r>
            <w:r w:rsidR="00A97CD0">
              <w:rPr>
                <w:noProof/>
                <w:webHidden/>
              </w:rPr>
              <w:tab/>
            </w:r>
            <w:r w:rsidR="008765B3">
              <w:rPr>
                <w:noProof/>
                <w:webHidden/>
              </w:rPr>
              <w:fldChar w:fldCharType="begin"/>
            </w:r>
            <w:r w:rsidR="00A97CD0">
              <w:rPr>
                <w:noProof/>
                <w:webHidden/>
              </w:rPr>
              <w:instrText xml:space="preserve"> PAGEREF _Toc331689822 \h </w:instrText>
            </w:r>
            <w:r w:rsidR="008765B3">
              <w:rPr>
                <w:noProof/>
                <w:webHidden/>
              </w:rPr>
            </w:r>
            <w:r w:rsidR="008765B3">
              <w:rPr>
                <w:noProof/>
                <w:webHidden/>
              </w:rPr>
              <w:fldChar w:fldCharType="separate"/>
            </w:r>
            <w:r w:rsidR="006F0419">
              <w:rPr>
                <w:noProof/>
                <w:webHidden/>
              </w:rPr>
              <w:t>5</w:t>
            </w:r>
            <w:r w:rsidR="008765B3">
              <w:rPr>
                <w:noProof/>
                <w:webHidden/>
              </w:rPr>
              <w:fldChar w:fldCharType="end"/>
            </w:r>
          </w:hyperlink>
        </w:p>
        <w:p w:rsidR="00A97CD0" w:rsidRDefault="00FD507B">
          <w:pPr>
            <w:pStyle w:val="TOC2"/>
            <w:rPr>
              <w:rFonts w:asciiTheme="minorHAnsi" w:eastAsiaTheme="minorEastAsia" w:hAnsiTheme="minorHAnsi" w:cstheme="minorBidi"/>
              <w:b w:val="0"/>
              <w:noProof/>
              <w:sz w:val="22"/>
              <w:lang w:eastAsia="en-AU"/>
            </w:rPr>
          </w:pPr>
          <w:hyperlink w:anchor="_Toc331689823" w:history="1">
            <w:r w:rsidR="00A97CD0" w:rsidRPr="005B578D">
              <w:rPr>
                <w:rStyle w:val="Hyperlink"/>
                <w:noProof/>
              </w:rPr>
              <w:t>Overview of the project</w:t>
            </w:r>
            <w:r w:rsidR="00A97CD0">
              <w:rPr>
                <w:noProof/>
                <w:webHidden/>
              </w:rPr>
              <w:tab/>
            </w:r>
            <w:r w:rsidR="008765B3">
              <w:rPr>
                <w:noProof/>
                <w:webHidden/>
              </w:rPr>
              <w:fldChar w:fldCharType="begin"/>
            </w:r>
            <w:r w:rsidR="00A97CD0">
              <w:rPr>
                <w:noProof/>
                <w:webHidden/>
              </w:rPr>
              <w:instrText xml:space="preserve"> PAGEREF _Toc331689823 \h </w:instrText>
            </w:r>
            <w:r w:rsidR="008765B3">
              <w:rPr>
                <w:noProof/>
                <w:webHidden/>
              </w:rPr>
            </w:r>
            <w:r w:rsidR="008765B3">
              <w:rPr>
                <w:noProof/>
                <w:webHidden/>
              </w:rPr>
              <w:fldChar w:fldCharType="separate"/>
            </w:r>
            <w:r w:rsidR="006F0419">
              <w:rPr>
                <w:noProof/>
                <w:webHidden/>
              </w:rPr>
              <w:t>5</w:t>
            </w:r>
            <w:r w:rsidR="008765B3">
              <w:rPr>
                <w:noProof/>
                <w:webHidden/>
              </w:rPr>
              <w:fldChar w:fldCharType="end"/>
            </w:r>
          </w:hyperlink>
        </w:p>
        <w:p w:rsidR="00A97CD0" w:rsidRDefault="00FD507B">
          <w:pPr>
            <w:pStyle w:val="TOC2"/>
            <w:rPr>
              <w:rFonts w:asciiTheme="minorHAnsi" w:eastAsiaTheme="minorEastAsia" w:hAnsiTheme="minorHAnsi" w:cstheme="minorBidi"/>
              <w:b w:val="0"/>
              <w:noProof/>
              <w:sz w:val="22"/>
              <w:lang w:eastAsia="en-AU"/>
            </w:rPr>
          </w:pPr>
          <w:hyperlink w:anchor="_Toc331689824" w:history="1">
            <w:r w:rsidR="00A97CD0" w:rsidRPr="005B578D">
              <w:rPr>
                <w:rStyle w:val="Hyperlink"/>
                <w:noProof/>
                <w:lang w:eastAsia="en-AU"/>
              </w:rPr>
              <w:t>Purpose of this document</w:t>
            </w:r>
            <w:r w:rsidR="00A97CD0">
              <w:rPr>
                <w:noProof/>
                <w:webHidden/>
              </w:rPr>
              <w:tab/>
            </w:r>
            <w:r w:rsidR="008765B3">
              <w:rPr>
                <w:noProof/>
                <w:webHidden/>
              </w:rPr>
              <w:fldChar w:fldCharType="begin"/>
            </w:r>
            <w:r w:rsidR="00A97CD0">
              <w:rPr>
                <w:noProof/>
                <w:webHidden/>
              </w:rPr>
              <w:instrText xml:space="preserve"> PAGEREF _Toc331689824 \h </w:instrText>
            </w:r>
            <w:r w:rsidR="008765B3">
              <w:rPr>
                <w:noProof/>
                <w:webHidden/>
              </w:rPr>
            </w:r>
            <w:r w:rsidR="008765B3">
              <w:rPr>
                <w:noProof/>
                <w:webHidden/>
              </w:rPr>
              <w:fldChar w:fldCharType="separate"/>
            </w:r>
            <w:r w:rsidR="006F0419">
              <w:rPr>
                <w:noProof/>
                <w:webHidden/>
              </w:rPr>
              <w:t>6</w:t>
            </w:r>
            <w:r w:rsidR="008765B3">
              <w:rPr>
                <w:noProof/>
                <w:webHidden/>
              </w:rPr>
              <w:fldChar w:fldCharType="end"/>
            </w:r>
          </w:hyperlink>
        </w:p>
        <w:p w:rsidR="00A97CD0" w:rsidRDefault="00FD507B">
          <w:pPr>
            <w:pStyle w:val="TOC1"/>
            <w:rPr>
              <w:rFonts w:asciiTheme="minorHAnsi" w:eastAsiaTheme="minorEastAsia" w:hAnsiTheme="minorHAnsi" w:cstheme="minorBidi"/>
              <w:b w:val="0"/>
              <w:noProof/>
              <w:sz w:val="22"/>
              <w:lang w:eastAsia="en-AU"/>
            </w:rPr>
          </w:pPr>
          <w:hyperlink w:anchor="_Toc331689825" w:history="1">
            <w:r w:rsidR="00A97CD0" w:rsidRPr="005B578D">
              <w:rPr>
                <w:rStyle w:val="Hyperlink"/>
                <w:noProof/>
              </w:rPr>
              <w:t>1. Acceptable parameters for listable indications</w:t>
            </w:r>
            <w:r w:rsidR="00A97CD0">
              <w:rPr>
                <w:noProof/>
                <w:webHidden/>
              </w:rPr>
              <w:tab/>
            </w:r>
            <w:r w:rsidR="008765B3">
              <w:rPr>
                <w:noProof/>
                <w:webHidden/>
              </w:rPr>
              <w:fldChar w:fldCharType="begin"/>
            </w:r>
            <w:r w:rsidR="00A97CD0">
              <w:rPr>
                <w:noProof/>
                <w:webHidden/>
              </w:rPr>
              <w:instrText xml:space="preserve"> PAGEREF _Toc331689825 \h </w:instrText>
            </w:r>
            <w:r w:rsidR="008765B3">
              <w:rPr>
                <w:noProof/>
                <w:webHidden/>
              </w:rPr>
            </w:r>
            <w:r w:rsidR="008765B3">
              <w:rPr>
                <w:noProof/>
                <w:webHidden/>
              </w:rPr>
              <w:fldChar w:fldCharType="separate"/>
            </w:r>
            <w:r w:rsidR="006F0419">
              <w:rPr>
                <w:noProof/>
                <w:webHidden/>
              </w:rPr>
              <w:t>7</w:t>
            </w:r>
            <w:r w:rsidR="008765B3">
              <w:rPr>
                <w:noProof/>
                <w:webHidden/>
              </w:rPr>
              <w:fldChar w:fldCharType="end"/>
            </w:r>
          </w:hyperlink>
        </w:p>
        <w:p w:rsidR="00A97CD0" w:rsidRDefault="00FD507B">
          <w:pPr>
            <w:pStyle w:val="TOC1"/>
            <w:rPr>
              <w:rFonts w:asciiTheme="minorHAnsi" w:eastAsiaTheme="minorEastAsia" w:hAnsiTheme="minorHAnsi" w:cstheme="minorBidi"/>
              <w:b w:val="0"/>
              <w:noProof/>
              <w:sz w:val="22"/>
              <w:lang w:eastAsia="en-AU"/>
            </w:rPr>
          </w:pPr>
          <w:hyperlink w:anchor="_Toc331689826" w:history="1">
            <w:r w:rsidR="00A97CD0" w:rsidRPr="005B578D">
              <w:rPr>
                <w:rStyle w:val="Hyperlink"/>
                <w:noProof/>
              </w:rPr>
              <w:t>2. Structure of listable indications</w:t>
            </w:r>
            <w:r w:rsidR="00A97CD0">
              <w:rPr>
                <w:noProof/>
                <w:webHidden/>
              </w:rPr>
              <w:tab/>
            </w:r>
            <w:r w:rsidR="008765B3">
              <w:rPr>
                <w:noProof/>
                <w:webHidden/>
              </w:rPr>
              <w:fldChar w:fldCharType="begin"/>
            </w:r>
            <w:r w:rsidR="00A97CD0">
              <w:rPr>
                <w:noProof/>
                <w:webHidden/>
              </w:rPr>
              <w:instrText xml:space="preserve"> PAGEREF _Toc331689826 \h </w:instrText>
            </w:r>
            <w:r w:rsidR="008765B3">
              <w:rPr>
                <w:noProof/>
                <w:webHidden/>
              </w:rPr>
            </w:r>
            <w:r w:rsidR="008765B3">
              <w:rPr>
                <w:noProof/>
                <w:webHidden/>
              </w:rPr>
              <w:fldChar w:fldCharType="separate"/>
            </w:r>
            <w:r w:rsidR="006F0419">
              <w:rPr>
                <w:noProof/>
                <w:webHidden/>
              </w:rPr>
              <w:t>7</w:t>
            </w:r>
            <w:r w:rsidR="008765B3">
              <w:rPr>
                <w:noProof/>
                <w:webHidden/>
              </w:rPr>
              <w:fldChar w:fldCharType="end"/>
            </w:r>
          </w:hyperlink>
        </w:p>
        <w:p w:rsidR="00A97CD0" w:rsidRDefault="00FD507B">
          <w:pPr>
            <w:pStyle w:val="TOC1"/>
            <w:rPr>
              <w:rFonts w:asciiTheme="minorHAnsi" w:eastAsiaTheme="minorEastAsia" w:hAnsiTheme="minorHAnsi" w:cstheme="minorBidi"/>
              <w:b w:val="0"/>
              <w:noProof/>
              <w:sz w:val="22"/>
              <w:lang w:eastAsia="en-AU"/>
            </w:rPr>
          </w:pPr>
          <w:hyperlink w:anchor="_Toc331689827" w:history="1">
            <w:r w:rsidR="00A97CD0" w:rsidRPr="005B578D">
              <w:rPr>
                <w:rStyle w:val="Hyperlink"/>
                <w:noProof/>
              </w:rPr>
              <w:t>3. Types of listable indications</w:t>
            </w:r>
            <w:r w:rsidR="00A97CD0">
              <w:rPr>
                <w:noProof/>
                <w:webHidden/>
              </w:rPr>
              <w:tab/>
            </w:r>
            <w:r w:rsidR="008765B3">
              <w:rPr>
                <w:noProof/>
                <w:webHidden/>
              </w:rPr>
              <w:fldChar w:fldCharType="begin"/>
            </w:r>
            <w:r w:rsidR="00A97CD0">
              <w:rPr>
                <w:noProof/>
                <w:webHidden/>
              </w:rPr>
              <w:instrText xml:space="preserve"> PAGEREF _Toc331689827 \h </w:instrText>
            </w:r>
            <w:r w:rsidR="008765B3">
              <w:rPr>
                <w:noProof/>
                <w:webHidden/>
              </w:rPr>
            </w:r>
            <w:r w:rsidR="008765B3">
              <w:rPr>
                <w:noProof/>
                <w:webHidden/>
              </w:rPr>
              <w:fldChar w:fldCharType="separate"/>
            </w:r>
            <w:r w:rsidR="006F0419">
              <w:rPr>
                <w:noProof/>
                <w:webHidden/>
              </w:rPr>
              <w:t>8</w:t>
            </w:r>
            <w:r w:rsidR="008765B3">
              <w:rPr>
                <w:noProof/>
                <w:webHidden/>
              </w:rPr>
              <w:fldChar w:fldCharType="end"/>
            </w:r>
          </w:hyperlink>
        </w:p>
        <w:p w:rsidR="00A97CD0" w:rsidRDefault="00FD507B">
          <w:pPr>
            <w:pStyle w:val="TOC2"/>
            <w:rPr>
              <w:rFonts w:asciiTheme="minorHAnsi" w:eastAsiaTheme="minorEastAsia" w:hAnsiTheme="minorHAnsi" w:cstheme="minorBidi"/>
              <w:b w:val="0"/>
              <w:noProof/>
              <w:sz w:val="22"/>
              <w:lang w:eastAsia="en-AU"/>
            </w:rPr>
          </w:pPr>
          <w:hyperlink w:anchor="_Toc331689828" w:history="1">
            <w:r w:rsidR="00A97CD0" w:rsidRPr="005B578D">
              <w:rPr>
                <w:rStyle w:val="Hyperlink"/>
                <w:noProof/>
              </w:rPr>
              <w:t>Types of indication according to type of health benefit</w:t>
            </w:r>
            <w:r w:rsidR="00A97CD0">
              <w:rPr>
                <w:noProof/>
                <w:webHidden/>
              </w:rPr>
              <w:tab/>
            </w:r>
            <w:r w:rsidR="008765B3">
              <w:rPr>
                <w:noProof/>
                <w:webHidden/>
              </w:rPr>
              <w:fldChar w:fldCharType="begin"/>
            </w:r>
            <w:r w:rsidR="00A97CD0">
              <w:rPr>
                <w:noProof/>
                <w:webHidden/>
              </w:rPr>
              <w:instrText xml:space="preserve"> PAGEREF _Toc331689828 \h </w:instrText>
            </w:r>
            <w:r w:rsidR="008765B3">
              <w:rPr>
                <w:noProof/>
                <w:webHidden/>
              </w:rPr>
            </w:r>
            <w:r w:rsidR="008765B3">
              <w:rPr>
                <w:noProof/>
                <w:webHidden/>
              </w:rPr>
              <w:fldChar w:fldCharType="separate"/>
            </w:r>
            <w:r w:rsidR="006F0419">
              <w:rPr>
                <w:noProof/>
                <w:webHidden/>
              </w:rPr>
              <w:t>9</w:t>
            </w:r>
            <w:r w:rsidR="008765B3">
              <w:rPr>
                <w:noProof/>
                <w:webHidden/>
              </w:rPr>
              <w:fldChar w:fldCharType="end"/>
            </w:r>
          </w:hyperlink>
        </w:p>
        <w:p w:rsidR="00A97CD0" w:rsidRDefault="00FD507B">
          <w:pPr>
            <w:pStyle w:val="TOC3"/>
            <w:rPr>
              <w:rFonts w:asciiTheme="minorHAnsi" w:eastAsiaTheme="minorEastAsia" w:hAnsiTheme="minorHAnsi" w:cstheme="minorBidi"/>
              <w:noProof/>
              <w:sz w:val="22"/>
              <w:lang w:eastAsia="en-AU"/>
            </w:rPr>
          </w:pPr>
          <w:hyperlink w:anchor="_Toc331689829" w:history="1">
            <w:r w:rsidR="00A97CD0" w:rsidRPr="005B578D">
              <w:rPr>
                <w:rStyle w:val="Hyperlink"/>
                <w:noProof/>
              </w:rPr>
              <w:t>Cluster 1: Health indications</w:t>
            </w:r>
            <w:r w:rsidR="00A97CD0">
              <w:rPr>
                <w:noProof/>
                <w:webHidden/>
              </w:rPr>
              <w:tab/>
            </w:r>
            <w:r w:rsidR="008765B3">
              <w:rPr>
                <w:noProof/>
                <w:webHidden/>
              </w:rPr>
              <w:fldChar w:fldCharType="begin"/>
            </w:r>
            <w:r w:rsidR="00A97CD0">
              <w:rPr>
                <w:noProof/>
                <w:webHidden/>
              </w:rPr>
              <w:instrText xml:space="preserve"> PAGEREF _Toc331689829 \h </w:instrText>
            </w:r>
            <w:r w:rsidR="008765B3">
              <w:rPr>
                <w:noProof/>
                <w:webHidden/>
              </w:rPr>
            </w:r>
            <w:r w:rsidR="008765B3">
              <w:rPr>
                <w:noProof/>
                <w:webHidden/>
              </w:rPr>
              <w:fldChar w:fldCharType="separate"/>
            </w:r>
            <w:r w:rsidR="006F0419">
              <w:rPr>
                <w:noProof/>
                <w:webHidden/>
              </w:rPr>
              <w:t>9</w:t>
            </w:r>
            <w:r w:rsidR="008765B3">
              <w:rPr>
                <w:noProof/>
                <w:webHidden/>
              </w:rPr>
              <w:fldChar w:fldCharType="end"/>
            </w:r>
          </w:hyperlink>
        </w:p>
        <w:p w:rsidR="00A97CD0" w:rsidRDefault="00FD507B">
          <w:pPr>
            <w:pStyle w:val="TOC3"/>
            <w:rPr>
              <w:rFonts w:asciiTheme="minorHAnsi" w:eastAsiaTheme="minorEastAsia" w:hAnsiTheme="minorHAnsi" w:cstheme="minorBidi"/>
              <w:noProof/>
              <w:sz w:val="22"/>
              <w:lang w:eastAsia="en-AU"/>
            </w:rPr>
          </w:pPr>
          <w:hyperlink w:anchor="_Toc331689830" w:history="1">
            <w:r w:rsidR="00A97CD0" w:rsidRPr="005B578D">
              <w:rPr>
                <w:rStyle w:val="Hyperlink"/>
                <w:noProof/>
              </w:rPr>
              <w:t>Cluster 2: Risk Reduction and prevention indications</w:t>
            </w:r>
            <w:r w:rsidR="00A97CD0">
              <w:rPr>
                <w:noProof/>
                <w:webHidden/>
              </w:rPr>
              <w:tab/>
            </w:r>
            <w:r w:rsidR="008765B3">
              <w:rPr>
                <w:noProof/>
                <w:webHidden/>
              </w:rPr>
              <w:fldChar w:fldCharType="begin"/>
            </w:r>
            <w:r w:rsidR="00A97CD0">
              <w:rPr>
                <w:noProof/>
                <w:webHidden/>
              </w:rPr>
              <w:instrText xml:space="preserve"> PAGEREF _Toc331689830 \h </w:instrText>
            </w:r>
            <w:r w:rsidR="008765B3">
              <w:rPr>
                <w:noProof/>
                <w:webHidden/>
              </w:rPr>
            </w:r>
            <w:r w:rsidR="008765B3">
              <w:rPr>
                <w:noProof/>
                <w:webHidden/>
              </w:rPr>
              <w:fldChar w:fldCharType="separate"/>
            </w:r>
            <w:r w:rsidR="006F0419">
              <w:rPr>
                <w:noProof/>
                <w:webHidden/>
              </w:rPr>
              <w:t>10</w:t>
            </w:r>
            <w:r w:rsidR="008765B3">
              <w:rPr>
                <w:noProof/>
                <w:webHidden/>
              </w:rPr>
              <w:fldChar w:fldCharType="end"/>
            </w:r>
          </w:hyperlink>
        </w:p>
        <w:p w:rsidR="00A97CD0" w:rsidRDefault="00FD507B">
          <w:pPr>
            <w:pStyle w:val="TOC3"/>
            <w:rPr>
              <w:rFonts w:asciiTheme="minorHAnsi" w:eastAsiaTheme="minorEastAsia" w:hAnsiTheme="minorHAnsi" w:cstheme="minorBidi"/>
              <w:noProof/>
              <w:sz w:val="22"/>
              <w:lang w:eastAsia="en-AU"/>
            </w:rPr>
          </w:pPr>
          <w:hyperlink w:anchor="_Toc331689831" w:history="1">
            <w:r w:rsidR="00A97CD0" w:rsidRPr="005B578D">
              <w:rPr>
                <w:rStyle w:val="Hyperlink"/>
                <w:noProof/>
              </w:rPr>
              <w:t>Cluster 3: Illness indications</w:t>
            </w:r>
            <w:r w:rsidR="00A97CD0">
              <w:rPr>
                <w:noProof/>
                <w:webHidden/>
              </w:rPr>
              <w:tab/>
            </w:r>
            <w:r w:rsidR="008765B3">
              <w:rPr>
                <w:noProof/>
                <w:webHidden/>
              </w:rPr>
              <w:fldChar w:fldCharType="begin"/>
            </w:r>
            <w:r w:rsidR="00A97CD0">
              <w:rPr>
                <w:noProof/>
                <w:webHidden/>
              </w:rPr>
              <w:instrText xml:space="preserve"> PAGEREF _Toc331689831 \h </w:instrText>
            </w:r>
            <w:r w:rsidR="008765B3">
              <w:rPr>
                <w:noProof/>
                <w:webHidden/>
              </w:rPr>
            </w:r>
            <w:r w:rsidR="008765B3">
              <w:rPr>
                <w:noProof/>
                <w:webHidden/>
              </w:rPr>
              <w:fldChar w:fldCharType="separate"/>
            </w:r>
            <w:r w:rsidR="006F0419">
              <w:rPr>
                <w:noProof/>
                <w:webHidden/>
              </w:rPr>
              <w:t>10</w:t>
            </w:r>
            <w:r w:rsidR="008765B3">
              <w:rPr>
                <w:noProof/>
                <w:webHidden/>
              </w:rPr>
              <w:fldChar w:fldCharType="end"/>
            </w:r>
          </w:hyperlink>
        </w:p>
        <w:p w:rsidR="00A97CD0" w:rsidRDefault="00FD507B">
          <w:pPr>
            <w:pStyle w:val="TOC2"/>
            <w:rPr>
              <w:rFonts w:asciiTheme="minorHAnsi" w:eastAsiaTheme="minorEastAsia" w:hAnsiTheme="minorHAnsi" w:cstheme="minorBidi"/>
              <w:b w:val="0"/>
              <w:noProof/>
              <w:sz w:val="22"/>
              <w:lang w:eastAsia="en-AU"/>
            </w:rPr>
          </w:pPr>
          <w:hyperlink w:anchor="_Toc331689832" w:history="1">
            <w:r w:rsidR="00A97CD0" w:rsidRPr="005B578D">
              <w:rPr>
                <w:rStyle w:val="Hyperlink"/>
                <w:noProof/>
              </w:rPr>
              <w:t>Nutrient Sources and Supplementation</w:t>
            </w:r>
            <w:r w:rsidR="00A97CD0">
              <w:rPr>
                <w:noProof/>
                <w:webHidden/>
              </w:rPr>
              <w:tab/>
            </w:r>
            <w:r w:rsidR="008765B3">
              <w:rPr>
                <w:noProof/>
                <w:webHidden/>
              </w:rPr>
              <w:fldChar w:fldCharType="begin"/>
            </w:r>
            <w:r w:rsidR="00A97CD0">
              <w:rPr>
                <w:noProof/>
                <w:webHidden/>
              </w:rPr>
              <w:instrText xml:space="preserve"> PAGEREF _Toc331689832 \h </w:instrText>
            </w:r>
            <w:r w:rsidR="008765B3">
              <w:rPr>
                <w:noProof/>
                <w:webHidden/>
              </w:rPr>
            </w:r>
            <w:r w:rsidR="008765B3">
              <w:rPr>
                <w:noProof/>
                <w:webHidden/>
              </w:rPr>
              <w:fldChar w:fldCharType="separate"/>
            </w:r>
            <w:r w:rsidR="006F0419">
              <w:rPr>
                <w:noProof/>
                <w:webHidden/>
              </w:rPr>
              <w:t>10</w:t>
            </w:r>
            <w:r w:rsidR="008765B3">
              <w:rPr>
                <w:noProof/>
                <w:webHidden/>
              </w:rPr>
              <w:fldChar w:fldCharType="end"/>
            </w:r>
          </w:hyperlink>
        </w:p>
        <w:p w:rsidR="00A97CD0" w:rsidRDefault="00FD507B">
          <w:pPr>
            <w:pStyle w:val="TOC1"/>
            <w:rPr>
              <w:rFonts w:asciiTheme="minorHAnsi" w:eastAsiaTheme="minorEastAsia" w:hAnsiTheme="minorHAnsi" w:cstheme="minorBidi"/>
              <w:b w:val="0"/>
              <w:noProof/>
              <w:sz w:val="22"/>
              <w:lang w:eastAsia="en-AU"/>
            </w:rPr>
          </w:pPr>
          <w:hyperlink w:anchor="_Toc331689833" w:history="1">
            <w:r w:rsidR="00A97CD0" w:rsidRPr="005B578D">
              <w:rPr>
                <w:rStyle w:val="Hyperlink"/>
                <w:noProof/>
              </w:rPr>
              <w:t>4. Coding standard listable indications</w:t>
            </w:r>
            <w:r w:rsidR="00A97CD0">
              <w:rPr>
                <w:noProof/>
                <w:webHidden/>
              </w:rPr>
              <w:tab/>
            </w:r>
            <w:r w:rsidR="008765B3">
              <w:rPr>
                <w:noProof/>
                <w:webHidden/>
              </w:rPr>
              <w:fldChar w:fldCharType="begin"/>
            </w:r>
            <w:r w:rsidR="00A97CD0">
              <w:rPr>
                <w:noProof/>
                <w:webHidden/>
              </w:rPr>
              <w:instrText xml:space="preserve"> PAGEREF _Toc331689833 \h </w:instrText>
            </w:r>
            <w:r w:rsidR="008765B3">
              <w:rPr>
                <w:noProof/>
                <w:webHidden/>
              </w:rPr>
            </w:r>
            <w:r w:rsidR="008765B3">
              <w:rPr>
                <w:noProof/>
                <w:webHidden/>
              </w:rPr>
              <w:fldChar w:fldCharType="separate"/>
            </w:r>
            <w:r w:rsidR="006F0419">
              <w:rPr>
                <w:noProof/>
                <w:webHidden/>
              </w:rPr>
              <w:t>10</w:t>
            </w:r>
            <w:r w:rsidR="008765B3">
              <w:rPr>
                <w:noProof/>
                <w:webHidden/>
              </w:rPr>
              <w:fldChar w:fldCharType="end"/>
            </w:r>
          </w:hyperlink>
        </w:p>
        <w:p w:rsidR="00A97CD0" w:rsidRDefault="00FD507B">
          <w:pPr>
            <w:pStyle w:val="TOC1"/>
            <w:rPr>
              <w:rFonts w:asciiTheme="minorHAnsi" w:eastAsiaTheme="minorEastAsia" w:hAnsiTheme="minorHAnsi" w:cstheme="minorBidi"/>
              <w:b w:val="0"/>
              <w:noProof/>
              <w:sz w:val="22"/>
              <w:lang w:eastAsia="en-AU"/>
            </w:rPr>
          </w:pPr>
          <w:hyperlink w:anchor="_Toc331689834" w:history="1">
            <w:r w:rsidR="00A97CD0" w:rsidRPr="005B578D">
              <w:rPr>
                <w:rStyle w:val="Hyperlink"/>
                <w:noProof/>
              </w:rPr>
              <w:t>5. The relationship between standard indications included on the ARTG &amp; statements included on product labels</w:t>
            </w:r>
            <w:r w:rsidR="00A97CD0">
              <w:rPr>
                <w:noProof/>
                <w:webHidden/>
              </w:rPr>
              <w:tab/>
            </w:r>
            <w:r w:rsidR="008765B3">
              <w:rPr>
                <w:noProof/>
                <w:webHidden/>
              </w:rPr>
              <w:fldChar w:fldCharType="begin"/>
            </w:r>
            <w:r w:rsidR="00A97CD0">
              <w:rPr>
                <w:noProof/>
                <w:webHidden/>
              </w:rPr>
              <w:instrText xml:space="preserve"> PAGEREF _Toc331689834 \h </w:instrText>
            </w:r>
            <w:r w:rsidR="008765B3">
              <w:rPr>
                <w:noProof/>
                <w:webHidden/>
              </w:rPr>
            </w:r>
            <w:r w:rsidR="008765B3">
              <w:rPr>
                <w:noProof/>
                <w:webHidden/>
              </w:rPr>
              <w:fldChar w:fldCharType="separate"/>
            </w:r>
            <w:r w:rsidR="006F0419">
              <w:rPr>
                <w:noProof/>
                <w:webHidden/>
              </w:rPr>
              <w:t>14</w:t>
            </w:r>
            <w:r w:rsidR="008765B3">
              <w:rPr>
                <w:noProof/>
                <w:webHidden/>
              </w:rPr>
              <w:fldChar w:fldCharType="end"/>
            </w:r>
          </w:hyperlink>
        </w:p>
        <w:p w:rsidR="00A97CD0" w:rsidRDefault="00FD507B">
          <w:pPr>
            <w:pStyle w:val="TOC1"/>
            <w:rPr>
              <w:rFonts w:asciiTheme="minorHAnsi" w:eastAsiaTheme="minorEastAsia" w:hAnsiTheme="minorHAnsi" w:cstheme="minorBidi"/>
              <w:b w:val="0"/>
              <w:noProof/>
              <w:sz w:val="22"/>
              <w:lang w:eastAsia="en-AU"/>
            </w:rPr>
          </w:pPr>
          <w:hyperlink w:anchor="_Toc331689835" w:history="1">
            <w:r w:rsidR="00A97CD0" w:rsidRPr="005B578D">
              <w:rPr>
                <w:rStyle w:val="Hyperlink"/>
                <w:rFonts w:eastAsiaTheme="majorEastAsia"/>
                <w:noProof/>
              </w:rPr>
              <w:t>6. Words in standard indications that are considered equivalent and interchangeable</w:t>
            </w:r>
            <w:r w:rsidR="00A97CD0">
              <w:rPr>
                <w:noProof/>
                <w:webHidden/>
              </w:rPr>
              <w:tab/>
            </w:r>
            <w:r w:rsidR="008765B3">
              <w:rPr>
                <w:noProof/>
                <w:webHidden/>
              </w:rPr>
              <w:fldChar w:fldCharType="begin"/>
            </w:r>
            <w:r w:rsidR="00A97CD0">
              <w:rPr>
                <w:noProof/>
                <w:webHidden/>
              </w:rPr>
              <w:instrText xml:space="preserve"> PAGEREF _Toc331689835 \h </w:instrText>
            </w:r>
            <w:r w:rsidR="008765B3">
              <w:rPr>
                <w:noProof/>
                <w:webHidden/>
              </w:rPr>
            </w:r>
            <w:r w:rsidR="008765B3">
              <w:rPr>
                <w:noProof/>
                <w:webHidden/>
              </w:rPr>
              <w:fldChar w:fldCharType="separate"/>
            </w:r>
            <w:r w:rsidR="006F0419">
              <w:rPr>
                <w:noProof/>
                <w:webHidden/>
              </w:rPr>
              <w:t>17</w:t>
            </w:r>
            <w:r w:rsidR="008765B3">
              <w:rPr>
                <w:noProof/>
                <w:webHidden/>
              </w:rPr>
              <w:fldChar w:fldCharType="end"/>
            </w:r>
          </w:hyperlink>
        </w:p>
        <w:p w:rsidR="00A97CD0" w:rsidRDefault="00FD507B">
          <w:pPr>
            <w:pStyle w:val="TOC1"/>
            <w:rPr>
              <w:rFonts w:asciiTheme="minorHAnsi" w:eastAsiaTheme="minorEastAsia" w:hAnsiTheme="minorHAnsi" w:cstheme="minorBidi"/>
              <w:b w:val="0"/>
              <w:noProof/>
              <w:sz w:val="22"/>
              <w:lang w:eastAsia="en-AU"/>
            </w:rPr>
          </w:pPr>
          <w:hyperlink w:anchor="_Toc331689836" w:history="1">
            <w:r w:rsidR="00A97CD0" w:rsidRPr="005B578D">
              <w:rPr>
                <w:rStyle w:val="Hyperlink"/>
                <w:rFonts w:eastAsiaTheme="majorEastAsia"/>
                <w:noProof/>
              </w:rPr>
              <w:t>7. The omission of standard indications that are not appropriate for listed medicines</w:t>
            </w:r>
            <w:r w:rsidR="00A97CD0">
              <w:rPr>
                <w:noProof/>
                <w:webHidden/>
              </w:rPr>
              <w:tab/>
            </w:r>
            <w:r w:rsidR="008765B3">
              <w:rPr>
                <w:noProof/>
                <w:webHidden/>
              </w:rPr>
              <w:fldChar w:fldCharType="begin"/>
            </w:r>
            <w:r w:rsidR="00A97CD0">
              <w:rPr>
                <w:noProof/>
                <w:webHidden/>
              </w:rPr>
              <w:instrText xml:space="preserve"> PAGEREF _Toc331689836 \h </w:instrText>
            </w:r>
            <w:r w:rsidR="008765B3">
              <w:rPr>
                <w:noProof/>
                <w:webHidden/>
              </w:rPr>
            </w:r>
            <w:r w:rsidR="008765B3">
              <w:rPr>
                <w:noProof/>
                <w:webHidden/>
              </w:rPr>
              <w:fldChar w:fldCharType="separate"/>
            </w:r>
            <w:r w:rsidR="006F0419">
              <w:rPr>
                <w:noProof/>
                <w:webHidden/>
              </w:rPr>
              <w:t>17</w:t>
            </w:r>
            <w:r w:rsidR="008765B3">
              <w:rPr>
                <w:noProof/>
                <w:webHidden/>
              </w:rPr>
              <w:fldChar w:fldCharType="end"/>
            </w:r>
          </w:hyperlink>
        </w:p>
        <w:p w:rsidR="00A97CD0" w:rsidRDefault="00FD507B">
          <w:pPr>
            <w:pStyle w:val="TOC2"/>
            <w:rPr>
              <w:rFonts w:asciiTheme="minorHAnsi" w:eastAsiaTheme="minorEastAsia" w:hAnsiTheme="minorHAnsi" w:cstheme="minorBidi"/>
              <w:b w:val="0"/>
              <w:noProof/>
              <w:sz w:val="22"/>
              <w:lang w:eastAsia="en-AU"/>
            </w:rPr>
          </w:pPr>
          <w:hyperlink w:anchor="_Toc331689837" w:history="1">
            <w:r w:rsidR="00A97CD0" w:rsidRPr="005B578D">
              <w:rPr>
                <w:rStyle w:val="Hyperlink"/>
                <w:noProof/>
                <w:lang w:val="en-US"/>
              </w:rPr>
              <w:t>Appendix 1: Draft Implementation Schedule for Standard Indications Project</w:t>
            </w:r>
            <w:r w:rsidR="00A97CD0">
              <w:rPr>
                <w:noProof/>
                <w:webHidden/>
              </w:rPr>
              <w:tab/>
            </w:r>
            <w:r w:rsidR="008765B3">
              <w:rPr>
                <w:noProof/>
                <w:webHidden/>
              </w:rPr>
              <w:fldChar w:fldCharType="begin"/>
            </w:r>
            <w:r w:rsidR="00A97CD0">
              <w:rPr>
                <w:noProof/>
                <w:webHidden/>
              </w:rPr>
              <w:instrText xml:space="preserve"> PAGEREF _Toc331689837 \h </w:instrText>
            </w:r>
            <w:r w:rsidR="008765B3">
              <w:rPr>
                <w:noProof/>
                <w:webHidden/>
              </w:rPr>
            </w:r>
            <w:r w:rsidR="008765B3">
              <w:rPr>
                <w:noProof/>
                <w:webHidden/>
              </w:rPr>
              <w:fldChar w:fldCharType="separate"/>
            </w:r>
            <w:r w:rsidR="006F0419">
              <w:rPr>
                <w:noProof/>
                <w:webHidden/>
              </w:rPr>
              <w:t>18</w:t>
            </w:r>
            <w:r w:rsidR="008765B3">
              <w:rPr>
                <w:noProof/>
                <w:webHidden/>
              </w:rPr>
              <w:fldChar w:fldCharType="end"/>
            </w:r>
          </w:hyperlink>
        </w:p>
        <w:p w:rsidR="00A97CD0" w:rsidRDefault="00FD507B">
          <w:pPr>
            <w:pStyle w:val="TOC2"/>
            <w:rPr>
              <w:rFonts w:asciiTheme="minorHAnsi" w:eastAsiaTheme="minorEastAsia" w:hAnsiTheme="minorHAnsi" w:cstheme="minorBidi"/>
              <w:b w:val="0"/>
              <w:noProof/>
              <w:sz w:val="22"/>
              <w:lang w:eastAsia="en-AU"/>
            </w:rPr>
          </w:pPr>
          <w:hyperlink w:anchor="_Toc331689838" w:history="1">
            <w:r w:rsidR="00A97CD0" w:rsidRPr="005B578D">
              <w:rPr>
                <w:rStyle w:val="Hyperlink"/>
                <w:noProof/>
                <w:lang w:val="en-US"/>
              </w:rPr>
              <w:t>Appendix 2: Excerpt from the Therapeutic Goods Advertising Code 2007</w:t>
            </w:r>
            <w:r w:rsidR="00A97CD0">
              <w:rPr>
                <w:noProof/>
                <w:webHidden/>
              </w:rPr>
              <w:tab/>
            </w:r>
            <w:r w:rsidR="008765B3">
              <w:rPr>
                <w:noProof/>
                <w:webHidden/>
              </w:rPr>
              <w:fldChar w:fldCharType="begin"/>
            </w:r>
            <w:r w:rsidR="00A97CD0">
              <w:rPr>
                <w:noProof/>
                <w:webHidden/>
              </w:rPr>
              <w:instrText xml:space="preserve"> PAGEREF _Toc331689838 \h </w:instrText>
            </w:r>
            <w:r w:rsidR="008765B3">
              <w:rPr>
                <w:noProof/>
                <w:webHidden/>
              </w:rPr>
            </w:r>
            <w:r w:rsidR="008765B3">
              <w:rPr>
                <w:noProof/>
                <w:webHidden/>
              </w:rPr>
              <w:fldChar w:fldCharType="separate"/>
            </w:r>
            <w:r w:rsidR="006F0419">
              <w:rPr>
                <w:noProof/>
                <w:webHidden/>
              </w:rPr>
              <w:t>19</w:t>
            </w:r>
            <w:r w:rsidR="008765B3">
              <w:rPr>
                <w:noProof/>
                <w:webHidden/>
              </w:rPr>
              <w:fldChar w:fldCharType="end"/>
            </w:r>
          </w:hyperlink>
        </w:p>
        <w:p w:rsidR="00A97CD0" w:rsidRDefault="008765B3" w:rsidP="00A97CD0">
          <w:pPr>
            <w:pStyle w:val="TOC3"/>
          </w:pPr>
          <w:r>
            <w:rPr>
              <w:rFonts w:asciiTheme="majorHAnsi" w:hAnsiTheme="majorHAnsi" w:cstheme="majorHAnsi"/>
              <w:sz w:val="24"/>
              <w:szCs w:val="24"/>
            </w:rPr>
            <w:fldChar w:fldCharType="end"/>
          </w:r>
        </w:p>
      </w:sdtContent>
    </w:sdt>
    <w:p w:rsidR="00A97CD0" w:rsidRDefault="00A97CD0" w:rsidP="00A97CD0">
      <w:pPr>
        <w:spacing w:before="0" w:after="0" w:line="240" w:lineRule="auto"/>
      </w:pPr>
    </w:p>
    <w:p w:rsidR="00A97CD0" w:rsidRDefault="00A97CD0" w:rsidP="00A97CD0">
      <w:pPr>
        <w:spacing w:before="0" w:after="0" w:line="240" w:lineRule="auto"/>
      </w:pPr>
      <w:r>
        <w:br w:type="page"/>
      </w:r>
    </w:p>
    <w:p w:rsidR="00A97CD0" w:rsidRDefault="00A97CD0" w:rsidP="00A97CD0">
      <w:pPr>
        <w:pStyle w:val="Heading2"/>
      </w:pPr>
      <w:bookmarkStart w:id="1" w:name="_Toc331689821"/>
      <w:r>
        <w:lastRenderedPageBreak/>
        <w:t>Introduction</w:t>
      </w:r>
      <w:bookmarkEnd w:id="1"/>
    </w:p>
    <w:p w:rsidR="00A97CD0" w:rsidRDefault="00A97CD0" w:rsidP="00A97CD0">
      <w:pPr>
        <w:rPr>
          <w:lang w:val="en-US"/>
        </w:rPr>
      </w:pPr>
      <w:r>
        <w:rPr>
          <w:lang w:val="en-US"/>
        </w:rPr>
        <w:t>The Therapeutic Goods Administration (TGA) is progressing with a series of reforms to the regulation of complementary medicines that seeks to improve community confidence in the safety and quality of these medicines. This will be achieved by:</w:t>
      </w:r>
    </w:p>
    <w:p w:rsidR="00A97CD0" w:rsidRDefault="00A97CD0" w:rsidP="00A97CD0">
      <w:pPr>
        <w:pStyle w:val="ListParagraph"/>
        <w:numPr>
          <w:ilvl w:val="0"/>
          <w:numId w:val="32"/>
        </w:numPr>
        <w:spacing w:before="0" w:after="120"/>
        <w:rPr>
          <w:lang w:val="en-US"/>
        </w:rPr>
      </w:pPr>
      <w:r>
        <w:rPr>
          <w:lang w:val="en-US"/>
        </w:rPr>
        <w:t xml:space="preserve">ensuring that the TGA effectively informs the community of its role in providing timely access to the therapeutic goods that Australians need, and that they meet appropriate standards of quality, safety and efficacy </w:t>
      </w:r>
    </w:p>
    <w:p w:rsidR="00A97CD0" w:rsidRDefault="00A97CD0" w:rsidP="00A97CD0">
      <w:pPr>
        <w:pStyle w:val="ListParagraph"/>
        <w:numPr>
          <w:ilvl w:val="0"/>
          <w:numId w:val="32"/>
        </w:numPr>
        <w:spacing w:before="0" w:after="120"/>
        <w:rPr>
          <w:lang w:val="en-US"/>
        </w:rPr>
      </w:pPr>
      <w:r>
        <w:rPr>
          <w:lang w:val="en-US"/>
        </w:rPr>
        <w:t xml:space="preserve">clarifying requirements for sponsors of complementary medicines </w:t>
      </w:r>
    </w:p>
    <w:p w:rsidR="00A97CD0" w:rsidRDefault="00A97CD0" w:rsidP="00A97CD0">
      <w:pPr>
        <w:pStyle w:val="ListParagraph"/>
        <w:numPr>
          <w:ilvl w:val="0"/>
          <w:numId w:val="32"/>
        </w:numPr>
        <w:spacing w:before="0" w:after="120"/>
        <w:rPr>
          <w:lang w:val="en-US"/>
        </w:rPr>
      </w:pPr>
      <w:r>
        <w:rPr>
          <w:lang w:val="en-US"/>
        </w:rPr>
        <w:t xml:space="preserve">improving the Australian community's understanding of the TGA's regulatory processes and decisions for complementary medicines </w:t>
      </w:r>
    </w:p>
    <w:p w:rsidR="00A97CD0" w:rsidRDefault="00A97CD0" w:rsidP="00A97CD0">
      <w:pPr>
        <w:pStyle w:val="ListParagraph"/>
        <w:numPr>
          <w:ilvl w:val="0"/>
          <w:numId w:val="32"/>
        </w:numPr>
        <w:spacing w:before="0" w:after="120"/>
        <w:rPr>
          <w:lang w:val="en-US"/>
        </w:rPr>
      </w:pPr>
      <w:r>
        <w:rPr>
          <w:lang w:val="en-US"/>
        </w:rPr>
        <w:t>strengthening the integrity and transparency of the regulatory framework for complementary medicines; and</w:t>
      </w:r>
    </w:p>
    <w:p w:rsidR="00A97CD0" w:rsidRDefault="00A97CD0" w:rsidP="00A97CD0">
      <w:pPr>
        <w:pStyle w:val="ListParagraph"/>
        <w:numPr>
          <w:ilvl w:val="0"/>
          <w:numId w:val="32"/>
        </w:numPr>
        <w:spacing w:before="0" w:after="120"/>
        <w:rPr>
          <w:lang w:val="en-US"/>
        </w:rPr>
      </w:pPr>
      <w:proofErr w:type="gramStart"/>
      <w:r>
        <w:rPr>
          <w:lang w:val="en-US"/>
        </w:rPr>
        <w:t>enhancing</w:t>
      </w:r>
      <w:proofErr w:type="gramEnd"/>
      <w:r>
        <w:rPr>
          <w:lang w:val="en-US"/>
        </w:rPr>
        <w:t xml:space="preserve"> the complementary medicine regulatory framework to ensure that it remains adaptable to community and industry expectations. </w:t>
      </w:r>
    </w:p>
    <w:p w:rsidR="00A97CD0" w:rsidRDefault="00A97CD0" w:rsidP="00A97CD0">
      <w:pPr>
        <w:rPr>
          <w:lang w:val="en-US"/>
        </w:rPr>
      </w:pPr>
      <w:r>
        <w:rPr>
          <w:lang w:val="en-US"/>
        </w:rPr>
        <w:t>The reforms are part of the </w:t>
      </w:r>
      <w:hyperlink r:id="rId16" w:history="1">
        <w:r>
          <w:rPr>
            <w:rStyle w:val="Hyperlink"/>
            <w:color w:val="auto"/>
            <w:lang w:val="en-US"/>
          </w:rPr>
          <w:t>TGA reforms: A blueprint for TGA's future</w:t>
        </w:r>
      </w:hyperlink>
      <w:r>
        <w:rPr>
          <w:lang w:val="en-US"/>
        </w:rPr>
        <w:t xml:space="preserve"> ("the Blueprint"), including a number of recommendations from the </w:t>
      </w:r>
      <w:hyperlink r:id="rId17" w:tooltip="link to the ANAO website" w:history="1">
        <w:r>
          <w:rPr>
            <w:rStyle w:val="Hyperlink"/>
            <w:color w:val="auto"/>
            <w:lang w:val="en-US"/>
          </w:rPr>
          <w:t>Auditor-General's Report on Therapeutic Goods Regulation: Complementary Medicines</w:t>
        </w:r>
      </w:hyperlink>
      <w:r>
        <w:rPr>
          <w:lang w:val="en-US"/>
        </w:rPr>
        <w:t xml:space="preserve"> ("the Auditor-General's Report"). The reforms will initially focus on the recommendations from the Auditor-General's report; the recommendations will be implemented through the following projects:</w:t>
      </w:r>
    </w:p>
    <w:p w:rsidR="00A97CD0" w:rsidRDefault="00FD507B" w:rsidP="00A97CD0">
      <w:pPr>
        <w:pStyle w:val="ListParagraph"/>
        <w:numPr>
          <w:ilvl w:val="0"/>
          <w:numId w:val="33"/>
        </w:numPr>
        <w:spacing w:before="0" w:after="120"/>
        <w:rPr>
          <w:lang w:val="en-US"/>
        </w:rPr>
      </w:pPr>
      <w:hyperlink r:id="rId18" w:history="1">
        <w:r w:rsidR="00A97CD0">
          <w:rPr>
            <w:rStyle w:val="Hyperlink"/>
            <w:color w:val="auto"/>
            <w:lang w:val="en-US"/>
          </w:rPr>
          <w:t>Key regulatory guidance materials</w:t>
        </w:r>
      </w:hyperlink>
      <w:r w:rsidR="00A97CD0">
        <w:rPr>
          <w:lang w:val="en-US"/>
        </w:rPr>
        <w:t xml:space="preserve"> </w:t>
      </w:r>
    </w:p>
    <w:p w:rsidR="00A97CD0" w:rsidRDefault="00FD507B" w:rsidP="00A97CD0">
      <w:pPr>
        <w:pStyle w:val="ListParagraph"/>
        <w:numPr>
          <w:ilvl w:val="0"/>
          <w:numId w:val="33"/>
        </w:numPr>
        <w:spacing w:before="0" w:after="120"/>
        <w:rPr>
          <w:lang w:val="en-US"/>
        </w:rPr>
      </w:pPr>
      <w:hyperlink r:id="rId19" w:history="1">
        <w:r w:rsidR="00A97CD0">
          <w:rPr>
            <w:rStyle w:val="Hyperlink"/>
            <w:color w:val="auto"/>
            <w:lang w:val="en-US"/>
          </w:rPr>
          <w:t>Standard indications</w:t>
        </w:r>
      </w:hyperlink>
      <w:r w:rsidR="00A97CD0">
        <w:rPr>
          <w:lang w:val="en-US"/>
        </w:rPr>
        <w:t xml:space="preserve"> </w:t>
      </w:r>
    </w:p>
    <w:p w:rsidR="00A97CD0" w:rsidRDefault="00FD507B" w:rsidP="00A97CD0">
      <w:pPr>
        <w:pStyle w:val="ListParagraph"/>
        <w:numPr>
          <w:ilvl w:val="0"/>
          <w:numId w:val="33"/>
        </w:numPr>
        <w:spacing w:before="0" w:after="120"/>
        <w:rPr>
          <w:lang w:val="en-US"/>
        </w:rPr>
      </w:pPr>
      <w:hyperlink r:id="rId20" w:history="1">
        <w:r w:rsidR="00A97CD0">
          <w:rPr>
            <w:rStyle w:val="Hyperlink"/>
            <w:color w:val="auto"/>
            <w:lang w:val="en-US"/>
          </w:rPr>
          <w:t>Publishing outcomes of post-market reviews</w:t>
        </w:r>
      </w:hyperlink>
      <w:r w:rsidR="00A97CD0">
        <w:rPr>
          <w:lang w:val="en-US"/>
        </w:rPr>
        <w:t xml:space="preserve"> </w:t>
      </w:r>
    </w:p>
    <w:p w:rsidR="00A97CD0" w:rsidRDefault="00FD507B" w:rsidP="00A97CD0">
      <w:pPr>
        <w:pStyle w:val="ListParagraph"/>
        <w:numPr>
          <w:ilvl w:val="0"/>
          <w:numId w:val="33"/>
        </w:numPr>
        <w:spacing w:before="0" w:after="120"/>
        <w:rPr>
          <w:lang w:val="en-US"/>
        </w:rPr>
      </w:pPr>
      <w:hyperlink r:id="rId21" w:history="1">
        <w:r w:rsidR="00A97CD0">
          <w:rPr>
            <w:rStyle w:val="Hyperlink"/>
            <w:color w:val="auto"/>
            <w:lang w:val="en-US"/>
          </w:rPr>
          <w:t>Using risk profiles in post-market reviews</w:t>
        </w:r>
      </w:hyperlink>
      <w:r w:rsidR="00A97CD0">
        <w:rPr>
          <w:lang w:val="en-US"/>
        </w:rPr>
        <w:t xml:space="preserve"> </w:t>
      </w:r>
    </w:p>
    <w:p w:rsidR="00A97CD0" w:rsidRDefault="00FD507B" w:rsidP="00A97CD0">
      <w:pPr>
        <w:pStyle w:val="ListParagraph"/>
        <w:numPr>
          <w:ilvl w:val="0"/>
          <w:numId w:val="33"/>
        </w:numPr>
        <w:spacing w:before="0" w:after="120"/>
        <w:rPr>
          <w:lang w:val="en-US"/>
        </w:rPr>
      </w:pPr>
      <w:hyperlink r:id="rId22" w:history="1">
        <w:r w:rsidR="00A97CD0">
          <w:rPr>
            <w:rStyle w:val="Hyperlink"/>
            <w:color w:val="auto"/>
            <w:lang w:val="en-US"/>
          </w:rPr>
          <w:t>Investigation processes for advertising breaches</w:t>
        </w:r>
      </w:hyperlink>
      <w:r w:rsidR="00A97CD0">
        <w:rPr>
          <w:lang w:val="en-US"/>
        </w:rPr>
        <w:t xml:space="preserve"> </w:t>
      </w:r>
    </w:p>
    <w:p w:rsidR="00A97CD0" w:rsidRDefault="00A97CD0" w:rsidP="00A97CD0">
      <w:pPr>
        <w:rPr>
          <w:lang w:val="en-US"/>
        </w:rPr>
      </w:pPr>
      <w:r>
        <w:rPr>
          <w:lang w:val="en-US"/>
        </w:rPr>
        <w:t>Additional recommendations included in the </w:t>
      </w:r>
      <w:hyperlink r:id="rId23" w:history="1">
        <w:r>
          <w:rPr>
            <w:rStyle w:val="Hyperlink"/>
            <w:color w:val="auto"/>
            <w:lang w:val="en-US"/>
          </w:rPr>
          <w:t>Blueprint</w:t>
        </w:r>
      </w:hyperlink>
      <w:r>
        <w:rPr>
          <w:lang w:val="en-US"/>
        </w:rPr>
        <w:t xml:space="preserve"> also impact upon complementary medicines regulation and will lead to further projects in the future.</w:t>
      </w:r>
    </w:p>
    <w:p w:rsidR="00A97CD0" w:rsidRDefault="00A97CD0" w:rsidP="00A97CD0">
      <w:pPr>
        <w:pStyle w:val="Heading3"/>
      </w:pPr>
      <w:bookmarkStart w:id="2" w:name="_Toc331689822"/>
      <w:r>
        <w:t>Background</w:t>
      </w:r>
      <w:bookmarkEnd w:id="2"/>
    </w:p>
    <w:p w:rsidR="00A97CD0" w:rsidRDefault="00A97CD0" w:rsidP="00A97CD0">
      <w:pPr>
        <w:rPr>
          <w:lang w:eastAsia="en-AU"/>
        </w:rPr>
      </w:pPr>
      <w:r>
        <w:rPr>
          <w:lang w:eastAsia="en-AU"/>
        </w:rPr>
        <w:t xml:space="preserve">Listed medicines are included on the Australian Register of Therapeutic Goods (ARTG) by sponsors through the </w:t>
      </w:r>
      <w:proofErr w:type="spellStart"/>
      <w:proofErr w:type="gramStart"/>
      <w:r>
        <w:rPr>
          <w:lang w:eastAsia="en-AU"/>
        </w:rPr>
        <w:t>eBS</w:t>
      </w:r>
      <w:proofErr w:type="spellEnd"/>
      <w:proofErr w:type="gramEnd"/>
      <w:r>
        <w:rPr>
          <w:lang w:eastAsia="en-AU"/>
        </w:rPr>
        <w:t xml:space="preserve"> Listing Facility (ELF). ). Listed medicines can only contain </w:t>
      </w:r>
      <w:proofErr w:type="spellStart"/>
      <w:r>
        <w:rPr>
          <w:lang w:eastAsia="en-AU"/>
        </w:rPr>
        <w:t>listable</w:t>
      </w:r>
      <w:proofErr w:type="spellEnd"/>
      <w:r>
        <w:rPr>
          <w:lang w:eastAsia="en-AU"/>
        </w:rPr>
        <w:t xml:space="preserve"> ingredients, must be manufactured in accordance with Good Manufacturing Practice and may only have </w:t>
      </w:r>
      <w:proofErr w:type="spellStart"/>
      <w:r>
        <w:rPr>
          <w:lang w:eastAsia="en-AU"/>
        </w:rPr>
        <w:t>listable</w:t>
      </w:r>
      <w:proofErr w:type="spellEnd"/>
      <w:r>
        <w:rPr>
          <w:lang w:eastAsia="en-AU"/>
        </w:rPr>
        <w:t xml:space="preserve"> indications (see Section 1 below).</w:t>
      </w:r>
    </w:p>
    <w:p w:rsidR="00A97CD0" w:rsidRDefault="00A97CD0" w:rsidP="00A97CD0">
      <w:pPr>
        <w:rPr>
          <w:lang w:eastAsia="en-AU"/>
        </w:rPr>
      </w:pPr>
      <w:r>
        <w:rPr>
          <w:lang w:eastAsia="en-AU"/>
        </w:rPr>
        <w:t>Listed medicines may be selected for listing compliance review and the review may involve an assessment of product quality, safety and/or efficacy. This may be done by means of laboratory testing, review of evidence, and/or assessment of manufacturing documentation or product labels.</w:t>
      </w:r>
    </w:p>
    <w:p w:rsidR="00A97CD0" w:rsidRDefault="00A97CD0" w:rsidP="00A97CD0">
      <w:pPr>
        <w:pStyle w:val="Heading3"/>
      </w:pPr>
      <w:bookmarkStart w:id="3" w:name="_Toc331689823"/>
      <w:r>
        <w:t>Overview of the project</w:t>
      </w:r>
      <w:bookmarkEnd w:id="3"/>
    </w:p>
    <w:p w:rsidR="00A97CD0" w:rsidRDefault="00A97CD0" w:rsidP="00A97CD0">
      <w:pPr>
        <w:rPr>
          <w:lang w:eastAsia="en-AU"/>
        </w:rPr>
      </w:pPr>
      <w:r>
        <w:rPr>
          <w:lang w:eastAsia="en-AU"/>
        </w:rPr>
        <w:t>Recommendation 2 of the Auditor-General’s report indicated that the TGA should finalise work on the coded [standard] indications project (a TGA-industry initiative) to rationalise and update the list of indications available to sponsors so as to limit the use of inappropriate indications on the ARTG.</w:t>
      </w:r>
    </w:p>
    <w:p w:rsidR="00A97CD0" w:rsidRDefault="00A97CD0" w:rsidP="00A97CD0">
      <w:pPr>
        <w:rPr>
          <w:lang w:eastAsia="en-AU"/>
        </w:rPr>
      </w:pPr>
      <w:r>
        <w:rPr>
          <w:lang w:eastAsia="en-AU"/>
        </w:rPr>
        <w:t xml:space="preserve">When listing a product, sponsors may select indications from a limited number of standard indications, or may utilise a free text field to describe indications in their own </w:t>
      </w:r>
      <w:r>
        <w:rPr>
          <w:lang w:eastAsia="en-AU"/>
        </w:rPr>
        <w:lastRenderedPageBreak/>
        <w:t>words.  Standard indications have existed in ELF since 2003. However, unlimited use of the free text field has resulted in a large number of inappropriate indications and claims being included on the ARTG. Under this standard indications proposal, the TGA intends to remove the free‐text option and require sponsors to select only from the standard list. To achieve this, the TGA needs to revise the list of standard indications already in use and make it sufficiently comprehensive.</w:t>
      </w:r>
    </w:p>
    <w:p w:rsidR="00A97CD0" w:rsidRDefault="00A97CD0" w:rsidP="00A97CD0">
      <w:pPr>
        <w:rPr>
          <w:rFonts w:cstheme="minorBidi"/>
          <w:lang w:eastAsia="en-AU"/>
        </w:rPr>
      </w:pPr>
      <w:r>
        <w:rPr>
          <w:rFonts w:cstheme="minorBidi"/>
          <w:lang w:eastAsia="en-AU"/>
        </w:rPr>
        <w:t>During 2009 and 2010, the TGA worked with industry representatives to work towards expanding the list of existing standard indications.  The current project aims to reclassify and expand existing standard indications to enable modification or removal of the free text box in ELF. Reclassifications will utilise the existing</w:t>
      </w:r>
      <w:r>
        <w:t xml:space="preserve"> International Classification of Diseases (ICD)</w:t>
      </w:r>
      <w:r>
        <w:rPr>
          <w:rFonts w:cstheme="minorBidi"/>
          <w:lang w:eastAsia="en-AU"/>
        </w:rPr>
        <w:t xml:space="preserve"> ‐10 framework to maximise the capacity of the system to cater for new standard indications. The ICD</w:t>
      </w:r>
      <w:r>
        <w:t xml:space="preserve"> is the world’s standard tool to capture mortality and morbidity data and it organises and codes health information that is used for statistics and epidemiology, health care management, allocation of resources, monitoring and evaluation, research, primary care, prevention and treatment.</w:t>
      </w:r>
    </w:p>
    <w:p w:rsidR="00A97CD0" w:rsidRDefault="00A97CD0" w:rsidP="00A97CD0">
      <w:pPr>
        <w:pStyle w:val="Heading3"/>
        <w:rPr>
          <w:lang w:eastAsia="en-AU"/>
        </w:rPr>
      </w:pPr>
      <w:bookmarkStart w:id="4" w:name="_Toc331689824"/>
      <w:r>
        <w:rPr>
          <w:lang w:eastAsia="en-AU"/>
        </w:rPr>
        <w:t>Purpose of this document</w:t>
      </w:r>
      <w:bookmarkEnd w:id="4"/>
    </w:p>
    <w:p w:rsidR="00A97CD0" w:rsidRDefault="00A97CD0" w:rsidP="00A97CD0">
      <w:pPr>
        <w:rPr>
          <w:lang w:eastAsia="en-AU"/>
        </w:rPr>
      </w:pPr>
      <w:r>
        <w:rPr>
          <w:lang w:eastAsia="en-AU"/>
        </w:rPr>
        <w:t>This document outlines the requirements for a standard indication that can be used for listed medicines and provides the framework for completion of the standard indications project. In order to facilitate the work on the standard indications it is proposed that a TGA-industry collaborative approach be reinstated.</w:t>
      </w:r>
    </w:p>
    <w:p w:rsidR="00A97CD0" w:rsidRDefault="00A97CD0" w:rsidP="00A97CD0">
      <w:pPr>
        <w:rPr>
          <w:lang w:eastAsia="en-AU"/>
        </w:rPr>
      </w:pPr>
      <w:r>
        <w:rPr>
          <w:lang w:eastAsia="en-AU"/>
        </w:rPr>
        <w:t xml:space="preserve">A draft list of updated indications based on the one previously prepared with industry has been created for review and finalisation </w:t>
      </w:r>
      <w:r w:rsidRPr="002C76AB">
        <w:rPr>
          <w:b/>
        </w:rPr>
        <w:t>(Attachment 1</w:t>
      </w:r>
      <w:r w:rsidR="009C3313" w:rsidRPr="002C76AB">
        <w:rPr>
          <w:b/>
        </w:rPr>
        <w:t>, Tab 1</w:t>
      </w:r>
      <w:r w:rsidRPr="002C76AB">
        <w:rPr>
          <w:b/>
        </w:rPr>
        <w:t xml:space="preserve">). </w:t>
      </w:r>
      <w:r>
        <w:rPr>
          <w:lang w:eastAsia="en-AU"/>
        </w:rPr>
        <w:t>In addition, appropriate indications were sourced from Health Canada monographs, European Medicines Agency (EMA) monographs and the Japanese Foods with Nutrient Function Claims.</w:t>
      </w:r>
    </w:p>
    <w:p w:rsidR="00A97CD0" w:rsidRDefault="00A97CD0" w:rsidP="00A97CD0">
      <w:pPr>
        <w:rPr>
          <w:b/>
        </w:rPr>
      </w:pPr>
      <w:r>
        <w:rPr>
          <w:b/>
        </w:rPr>
        <w:t xml:space="preserve">Members of the Informal Working Group on Complementary Medicines are asked to consider the indications included </w:t>
      </w:r>
      <w:r w:rsidRPr="002C76AB">
        <w:rPr>
          <w:b/>
        </w:rPr>
        <w:t>in Attachment 1</w:t>
      </w:r>
      <w:r w:rsidR="002C76AB">
        <w:rPr>
          <w:b/>
        </w:rPr>
        <w:t>, Tab 1</w:t>
      </w:r>
      <w:r>
        <w:rPr>
          <w:b/>
        </w:rPr>
        <w:t xml:space="preserve"> for appropriateness and comprehensiveness.</w:t>
      </w:r>
      <w:r w:rsidR="002C76AB">
        <w:rPr>
          <w:b/>
        </w:rPr>
        <w:t xml:space="preserve"> Any comments in relation to individual standard indications included in Tab 1 can be provided in column L. </w:t>
      </w:r>
    </w:p>
    <w:p w:rsidR="00A97CD0" w:rsidRDefault="00A97CD0" w:rsidP="00A97CD0">
      <w:pPr>
        <w:rPr>
          <w:b/>
        </w:rPr>
      </w:pPr>
      <w:r>
        <w:rPr>
          <w:b/>
        </w:rPr>
        <w:t xml:space="preserve">Members are also asked to nominate appropriate additional standard indications to ensure that the list is as comprehensive as possible. Attachment </w:t>
      </w:r>
      <w:r w:rsidR="009C3313">
        <w:rPr>
          <w:b/>
        </w:rPr>
        <w:t>1</w:t>
      </w:r>
      <w:r w:rsidR="002C76AB">
        <w:rPr>
          <w:b/>
        </w:rPr>
        <w:t>,</w:t>
      </w:r>
      <w:r>
        <w:rPr>
          <w:b/>
        </w:rPr>
        <w:t xml:space="preserve"> </w:t>
      </w:r>
      <w:r w:rsidR="009C3313">
        <w:rPr>
          <w:b/>
        </w:rPr>
        <w:t xml:space="preserve">Tab 4 </w:t>
      </w:r>
      <w:r>
        <w:rPr>
          <w:b/>
        </w:rPr>
        <w:t xml:space="preserve">(PROPOSED RECODED STD IND IWGM) is provided for this purpose. Any proposed standard indications must be coded in accordance with ICD 10 framework. </w:t>
      </w:r>
    </w:p>
    <w:p w:rsidR="00A97CD0" w:rsidRDefault="00A97CD0" w:rsidP="00A97CD0">
      <w:pPr>
        <w:rPr>
          <w:b/>
        </w:rPr>
      </w:pPr>
      <w:r>
        <w:rPr>
          <w:b/>
        </w:rPr>
        <w:t>In commenting on the proposed recoded standard indications, or when proposing new standard indications, members are requested to consider the following:</w:t>
      </w:r>
    </w:p>
    <w:p w:rsidR="00A97CD0" w:rsidRDefault="00A97CD0" w:rsidP="00A97CD0">
      <w:pPr>
        <w:pStyle w:val="ListParagraph"/>
        <w:numPr>
          <w:ilvl w:val="0"/>
          <w:numId w:val="34"/>
        </w:numPr>
        <w:rPr>
          <w:b/>
        </w:rPr>
      </w:pPr>
      <w:r>
        <w:rPr>
          <w:b/>
        </w:rPr>
        <w:t xml:space="preserve">Acceptable parameters for </w:t>
      </w:r>
      <w:proofErr w:type="spellStart"/>
      <w:r>
        <w:rPr>
          <w:b/>
        </w:rPr>
        <w:t>listable</w:t>
      </w:r>
      <w:proofErr w:type="spellEnd"/>
      <w:r>
        <w:rPr>
          <w:b/>
        </w:rPr>
        <w:t xml:space="preserve"> indications</w:t>
      </w:r>
    </w:p>
    <w:p w:rsidR="00A97CD0" w:rsidRDefault="00A97CD0" w:rsidP="00A97CD0">
      <w:pPr>
        <w:pStyle w:val="ListParagraph"/>
        <w:numPr>
          <w:ilvl w:val="0"/>
          <w:numId w:val="34"/>
        </w:numPr>
        <w:rPr>
          <w:b/>
        </w:rPr>
      </w:pPr>
      <w:r>
        <w:rPr>
          <w:b/>
        </w:rPr>
        <w:t xml:space="preserve">An accepted structure for </w:t>
      </w:r>
      <w:proofErr w:type="spellStart"/>
      <w:r>
        <w:rPr>
          <w:b/>
        </w:rPr>
        <w:t>listable</w:t>
      </w:r>
      <w:proofErr w:type="spellEnd"/>
      <w:r>
        <w:rPr>
          <w:b/>
        </w:rPr>
        <w:t xml:space="preserve"> indications</w:t>
      </w:r>
    </w:p>
    <w:p w:rsidR="00A97CD0" w:rsidRDefault="00A97CD0" w:rsidP="00A97CD0">
      <w:pPr>
        <w:pStyle w:val="ListParagraph"/>
        <w:numPr>
          <w:ilvl w:val="0"/>
          <w:numId w:val="34"/>
        </w:numPr>
        <w:rPr>
          <w:b/>
        </w:rPr>
      </w:pPr>
      <w:r>
        <w:rPr>
          <w:b/>
        </w:rPr>
        <w:t xml:space="preserve">Types of </w:t>
      </w:r>
      <w:proofErr w:type="spellStart"/>
      <w:r>
        <w:rPr>
          <w:b/>
        </w:rPr>
        <w:t>listable</w:t>
      </w:r>
      <w:proofErr w:type="spellEnd"/>
      <w:r>
        <w:rPr>
          <w:b/>
        </w:rPr>
        <w:t xml:space="preserve"> indications</w:t>
      </w:r>
    </w:p>
    <w:p w:rsidR="00A97CD0" w:rsidRDefault="00A97CD0" w:rsidP="00A97CD0">
      <w:pPr>
        <w:pStyle w:val="ListParagraph"/>
        <w:numPr>
          <w:ilvl w:val="0"/>
          <w:numId w:val="34"/>
        </w:numPr>
        <w:rPr>
          <w:b/>
        </w:rPr>
      </w:pPr>
      <w:r>
        <w:rPr>
          <w:b/>
        </w:rPr>
        <w:t>A consistent approach to coding standard indications</w:t>
      </w:r>
    </w:p>
    <w:p w:rsidR="00A97CD0" w:rsidRDefault="00A97CD0" w:rsidP="00A97CD0">
      <w:pPr>
        <w:pStyle w:val="ListParagraph"/>
        <w:numPr>
          <w:ilvl w:val="0"/>
          <w:numId w:val="34"/>
        </w:numPr>
        <w:rPr>
          <w:b/>
        </w:rPr>
      </w:pPr>
      <w:r>
        <w:rPr>
          <w:b/>
        </w:rPr>
        <w:t>The relationship between standard indications included on the ARTG and statements included on the labels of products</w:t>
      </w:r>
    </w:p>
    <w:p w:rsidR="00A97CD0" w:rsidRDefault="00A97CD0" w:rsidP="00A97CD0">
      <w:pPr>
        <w:pStyle w:val="ListParagraph"/>
        <w:numPr>
          <w:ilvl w:val="0"/>
          <w:numId w:val="34"/>
        </w:numPr>
        <w:rPr>
          <w:b/>
        </w:rPr>
      </w:pPr>
      <w:r>
        <w:rPr>
          <w:b/>
        </w:rPr>
        <w:t>Words in standard indications that are considered equivalent and interchangeable</w:t>
      </w:r>
    </w:p>
    <w:p w:rsidR="00A97CD0" w:rsidRDefault="00A97CD0" w:rsidP="00A97CD0">
      <w:pPr>
        <w:pStyle w:val="ListParagraph"/>
        <w:numPr>
          <w:ilvl w:val="0"/>
          <w:numId w:val="34"/>
        </w:numPr>
        <w:rPr>
          <w:b/>
        </w:rPr>
      </w:pPr>
      <w:r>
        <w:rPr>
          <w:b/>
        </w:rPr>
        <w:t>The omission of standard indications that are not appropriate for listed medicines</w:t>
      </w:r>
    </w:p>
    <w:p w:rsidR="00A97CD0" w:rsidRDefault="00A97CD0" w:rsidP="00A97CD0">
      <w:r>
        <w:t>As the coded indications project advances and it is possible to restrict new listed products to only standard indications, an implementation plan will be developed to require the same discipline to be imposed on existing products as well as new ones. A draft implementation schedule is at Appendix 1.</w:t>
      </w:r>
    </w:p>
    <w:p w:rsidR="00A97CD0" w:rsidRDefault="00A97CD0" w:rsidP="00A97CD0">
      <w:pPr>
        <w:pStyle w:val="Heading2"/>
      </w:pPr>
      <w:bookmarkStart w:id="5" w:name="_Toc331689825"/>
      <w:r>
        <w:lastRenderedPageBreak/>
        <w:t xml:space="preserve">1. Acceptable parameters for </w:t>
      </w:r>
      <w:proofErr w:type="spellStart"/>
      <w:r>
        <w:t>listable</w:t>
      </w:r>
      <w:proofErr w:type="spellEnd"/>
      <w:r>
        <w:t xml:space="preserve"> indications</w:t>
      </w:r>
      <w:bookmarkEnd w:id="5"/>
    </w:p>
    <w:p w:rsidR="00A97CD0" w:rsidRDefault="00A97CD0" w:rsidP="00A97CD0">
      <w:r>
        <w:t xml:space="preserve">Listed medicines are considered ‘low risk’. This means that products eligible for listing must be safe for the use for which they are indicated in the absence of health practitioner supervision. In order to minimise potential risk, restrictions are placed on the nature of the ingredients permitted for use in listed medicines, and also on the indications that may be associated with listed medicines. </w:t>
      </w:r>
    </w:p>
    <w:p w:rsidR="00A97CD0" w:rsidRDefault="00A97CD0" w:rsidP="00A97CD0">
      <w:r>
        <w:t>An indication for a listed medicine:</w:t>
      </w:r>
    </w:p>
    <w:p w:rsidR="00A97CD0" w:rsidRDefault="00A97CD0" w:rsidP="00A97CD0">
      <w:pPr>
        <w:pStyle w:val="ListBullet"/>
        <w:numPr>
          <w:ilvl w:val="0"/>
          <w:numId w:val="31"/>
        </w:numPr>
        <w:ind w:left="357" w:hanging="357"/>
      </w:pPr>
      <w:r>
        <w:t>must describe a specific therapeutic use</w:t>
      </w:r>
    </w:p>
    <w:p w:rsidR="00A97CD0" w:rsidRDefault="00A97CD0" w:rsidP="00A97CD0">
      <w:pPr>
        <w:pStyle w:val="ListBullet"/>
        <w:numPr>
          <w:ilvl w:val="0"/>
          <w:numId w:val="31"/>
        </w:numPr>
        <w:ind w:left="357" w:hanging="357"/>
      </w:pPr>
      <w:r>
        <w:t xml:space="preserve">in general, must only refer to ailments or health states that are self-diagnosable, self-treatable, self-resolving and the consumer can recognise if the product is ineffective and make decisions to discontinue use, seek an alternate product or seek the advice of a healthcare professional, as appropriate; and </w:t>
      </w:r>
    </w:p>
    <w:p w:rsidR="00A97CD0" w:rsidRDefault="00A97CD0" w:rsidP="00A97CD0">
      <w:pPr>
        <w:pStyle w:val="ListBullet"/>
        <w:numPr>
          <w:ilvl w:val="0"/>
          <w:numId w:val="31"/>
        </w:numPr>
        <w:ind w:left="357" w:hanging="357"/>
      </w:pPr>
      <w:r>
        <w:t xml:space="preserve">must not refer to a disease, ailment, defect or condition generally accepted to be beyond the ability of the average consumer to diagnose, treat or manage without the intervention of an appropriately qualified healthcare practitioner (this includes obesity but does not include management of overweight as the serious health risks associated with obesity require intervention and management by an appropriately qualified healthcare professional. Medicines with indications that refer to obesity must be included in the ARTG as registered medicines). </w:t>
      </w:r>
    </w:p>
    <w:p w:rsidR="00A97CD0" w:rsidRDefault="00A97CD0" w:rsidP="00A97CD0">
      <w:r>
        <w:t xml:space="preserve">In order to ensure that standard indications refer to a specific therapeutic use, the word ‘may’ is not considered appropriate for inclusion within standard indications. </w:t>
      </w:r>
    </w:p>
    <w:p w:rsidR="00A97CD0" w:rsidRDefault="00A97CD0" w:rsidP="00A97CD0">
      <w:pPr>
        <w:pStyle w:val="Heading2"/>
      </w:pPr>
      <w:bookmarkStart w:id="6" w:name="_Toc331689826"/>
      <w:r>
        <w:t xml:space="preserve">2. Structure of </w:t>
      </w:r>
      <w:proofErr w:type="spellStart"/>
      <w:r>
        <w:t>listable</w:t>
      </w:r>
      <w:proofErr w:type="spellEnd"/>
      <w:r>
        <w:t xml:space="preserve"> indications</w:t>
      </w:r>
      <w:bookmarkEnd w:id="6"/>
    </w:p>
    <w:p w:rsidR="00A97CD0" w:rsidRDefault="00A97CD0" w:rsidP="00A97CD0">
      <w:r>
        <w:t>An indication, in relation to therapeutic goods, must describe the specific therapeutic use(s) of the goods. Indications refer to a particular health benefit and are structured to include a nominated action or effect (such as reduces, prevents, improves, maintains, stimulates, or treats) on a defined target (such as a biological factor or process, a health state or a clinical condition). Targets may be general—such as pain, fever or general well being—or specific—referring to defined conditions such as knee pain or headache, or a specific receptor, molecule or biological process. Additional qualifying terms may be included to provide information relating to the context of therapeutic use (e.g. within a particular traditional health paradigm or a particular subset of the population) or the specific qualities of the action or effect (e.g. rapid or sustained) or target (e.g. acute, severe or persistent). Indications can generally be schematically represented in the following way:</w:t>
      </w:r>
    </w:p>
    <w:p w:rsidR="00A97CD0" w:rsidRDefault="00A97CD0" w:rsidP="00A97CD0">
      <w:pPr>
        <w:spacing w:before="0" w:after="0" w:line="240" w:lineRule="auto"/>
        <w:rPr>
          <w:b/>
        </w:rPr>
      </w:pPr>
      <w:r>
        <w:rPr>
          <w:b/>
        </w:rPr>
        <w:br w:type="page"/>
      </w:r>
    </w:p>
    <w:p w:rsidR="00A97CD0" w:rsidRDefault="00725CC7" w:rsidP="00A97CD0">
      <w:pPr>
        <w:spacing w:before="0"/>
        <w:jc w:val="center"/>
        <w:rPr>
          <w:b/>
        </w:rPr>
      </w:pPr>
      <w:r>
        <w:rPr>
          <w:noProof/>
          <w:lang w:eastAsia="en-AU"/>
        </w:rPr>
        <w:lastRenderedPageBreak/>
        <mc:AlternateContent>
          <mc:Choice Requires="wpg">
            <w:drawing>
              <wp:anchor distT="0" distB="0" distL="114300" distR="114300" simplePos="0" relativeHeight="251831296" behindDoc="0" locked="0" layoutInCell="1" allowOverlap="1">
                <wp:simplePos x="0" y="0"/>
                <wp:positionH relativeFrom="column">
                  <wp:posOffset>-137160</wp:posOffset>
                </wp:positionH>
                <wp:positionV relativeFrom="paragraph">
                  <wp:posOffset>262890</wp:posOffset>
                </wp:positionV>
                <wp:extent cx="5793105" cy="2258060"/>
                <wp:effectExtent l="5715" t="5715" r="11430" b="12700"/>
                <wp:wrapNone/>
                <wp:docPr id="1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2258060"/>
                          <a:chOff x="1042" y="2400"/>
                          <a:chExt cx="9123" cy="3556"/>
                        </a:xfrm>
                      </wpg:grpSpPr>
                      <wpg:grpSp>
                        <wpg:cNvPr id="13" name="Group 264"/>
                        <wpg:cNvGrpSpPr>
                          <a:grpSpLocks/>
                        </wpg:cNvGrpSpPr>
                        <wpg:grpSpPr bwMode="auto">
                          <a:xfrm>
                            <a:off x="1042" y="2400"/>
                            <a:ext cx="9123" cy="3556"/>
                            <a:chOff x="1042" y="2400"/>
                            <a:chExt cx="9123" cy="3556"/>
                          </a:xfrm>
                        </wpg:grpSpPr>
                        <wps:wsp>
                          <wps:cNvPr id="14" name="Text Box 5"/>
                          <wps:cNvSpPr txBox="1">
                            <a:spLocks noChangeArrowheads="1"/>
                          </wps:cNvSpPr>
                          <wps:spPr bwMode="auto">
                            <a:xfrm>
                              <a:off x="1042" y="2400"/>
                              <a:ext cx="9123" cy="3556"/>
                            </a:xfrm>
                            <a:prstGeom prst="rect">
                              <a:avLst/>
                            </a:prstGeom>
                            <a:solidFill>
                              <a:srgbClr val="C6D4E9"/>
                            </a:solidFill>
                            <a:ln w="9525">
                              <a:solidFill>
                                <a:srgbClr val="000000"/>
                              </a:solidFill>
                              <a:miter lim="800000"/>
                              <a:headEnd/>
                              <a:tailEnd/>
                            </a:ln>
                          </wps:spPr>
                          <wps:txbx>
                            <w:txbxContent>
                              <w:p w:rsidR="00FD507B" w:rsidRDefault="00FD507B" w:rsidP="00A97CD0">
                                <w:pPr>
                                  <w:spacing w:after="0" w:line="240" w:lineRule="auto"/>
                                  <w:rPr>
                                    <w:b/>
                                    <w:szCs w:val="20"/>
                                    <w:lang w:val="en-US" w:eastAsia="en-AU"/>
                                  </w:rPr>
                                </w:pPr>
                                <w:r>
                                  <w:rPr>
                                    <w:b/>
                                    <w:szCs w:val="20"/>
                                    <w:lang w:val="en-US" w:eastAsia="en-AU"/>
                                  </w:rPr>
                                  <w:t>Example indications:</w:t>
                                </w:r>
                              </w:p>
                              <w:p w:rsidR="00FD507B" w:rsidRDefault="00FD507B" w:rsidP="00A97CD0">
                                <w:pPr>
                                  <w:spacing w:after="0" w:line="240" w:lineRule="auto"/>
                                  <w:jc w:val="center"/>
                                  <w:rPr>
                                    <w:i/>
                                    <w:szCs w:val="20"/>
                                    <w:lang w:val="en-US" w:eastAsia="en-AU"/>
                                  </w:rPr>
                                </w:pPr>
                                <w:r>
                                  <w:rPr>
                                    <w:i/>
                                    <w:szCs w:val="20"/>
                                    <w:lang w:val="en-US" w:eastAsia="en-AU"/>
                                  </w:rPr>
                                  <w:t>Traditionally used in Herbal Medicine to reduce the recurrence of urinary tract infections</w:t>
                                </w:r>
                              </w:p>
                              <w:p w:rsidR="00FD507B" w:rsidRDefault="00FD507B" w:rsidP="00A97CD0">
                                <w:pPr>
                                  <w:jc w:val="center"/>
                                  <w:rPr>
                                    <w:i/>
                                  </w:rPr>
                                </w:pPr>
                              </w:p>
                              <w:p w:rsidR="00FD507B" w:rsidRDefault="00FD507B" w:rsidP="00A97CD0">
                                <w:pPr>
                                  <w:jc w:val="center"/>
                                  <w:rPr>
                                    <w:i/>
                                  </w:rPr>
                                </w:pPr>
                              </w:p>
                              <w:p w:rsidR="00FD507B" w:rsidRDefault="00FD507B" w:rsidP="00A97CD0">
                                <w:pPr>
                                  <w:jc w:val="center"/>
                                  <w:rPr>
                                    <w:i/>
                                  </w:rPr>
                                </w:pPr>
                                <w:r>
                                  <w:rPr>
                                    <w:i/>
                                  </w:rPr>
                                  <w:t>For the temporary relief of mild to moderate headache</w:t>
                                </w:r>
                              </w:p>
                              <w:p w:rsidR="00FD507B" w:rsidRDefault="00FD507B" w:rsidP="00A97CD0">
                                <w:pPr>
                                  <w:rPr>
                                    <w:i/>
                                  </w:rPr>
                                </w:pPr>
                              </w:p>
                              <w:p w:rsidR="00FD507B" w:rsidRDefault="00FD507B" w:rsidP="00A97CD0">
                                <w:pPr>
                                  <w:rPr>
                                    <w:i/>
                                  </w:rPr>
                                </w:pPr>
                              </w:p>
                            </w:txbxContent>
                          </wps:txbx>
                          <wps:bodyPr rot="0" vert="horz" wrap="square" lIns="18000" tIns="10800" rIns="18000" bIns="10800" anchor="t" anchorCtr="0" upright="1">
                            <a:noAutofit/>
                          </wps:bodyPr>
                        </wps:wsp>
                        <wps:wsp>
                          <wps:cNvPr id="15" name="Text Box 266"/>
                          <wps:cNvSpPr txBox="1">
                            <a:spLocks noChangeArrowheads="1"/>
                          </wps:cNvSpPr>
                          <wps:spPr bwMode="auto">
                            <a:xfrm>
                              <a:off x="6732" y="3498"/>
                              <a:ext cx="425"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Q</w:t>
                                </w:r>
                                <w:r>
                                  <w:rPr>
                                    <w:szCs w:val="20"/>
                                    <w:vertAlign w:val="subscript"/>
                                    <w:lang w:val="en-US"/>
                                  </w:rPr>
                                  <w:t>T</w:t>
                                </w:r>
                              </w:p>
                            </w:txbxContent>
                          </wps:txbx>
                          <wps:bodyPr rot="0" vert="horz" wrap="square" lIns="18000" tIns="45720" rIns="18000" bIns="45720" anchor="t" anchorCtr="0" upright="1">
                            <a:noAutofit/>
                          </wps:bodyPr>
                        </wps:wsp>
                        <wps:wsp>
                          <wps:cNvPr id="16" name="AutoShape 267"/>
                          <wps:cNvSpPr>
                            <a:spLocks/>
                          </wps:cNvSpPr>
                          <wps:spPr bwMode="auto">
                            <a:xfrm rot="-5400000">
                              <a:off x="3109" y="1979"/>
                              <a:ext cx="414" cy="3119"/>
                            </a:xfrm>
                            <a:prstGeom prst="leftBrace">
                              <a:avLst>
                                <a:gd name="adj1" fmla="val 627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68"/>
                          <wps:cNvSpPr>
                            <a:spLocks/>
                          </wps:cNvSpPr>
                          <wps:spPr bwMode="auto">
                            <a:xfrm rot="-5400000">
                              <a:off x="5274" y="3302"/>
                              <a:ext cx="474" cy="574"/>
                            </a:xfrm>
                            <a:prstGeom prst="leftBrace">
                              <a:avLst>
                                <a:gd name="adj1" fmla="val 10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69"/>
                          <wps:cNvSpPr txBox="1">
                            <a:spLocks noChangeArrowheads="1"/>
                          </wps:cNvSpPr>
                          <wps:spPr bwMode="auto">
                            <a:xfrm>
                              <a:off x="2732" y="3553"/>
                              <a:ext cx="1147"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CONTEXT</w:t>
                                </w:r>
                              </w:p>
                            </w:txbxContent>
                          </wps:txbx>
                          <wps:bodyPr rot="0" vert="horz" wrap="square" lIns="18000" tIns="45720" rIns="18000" bIns="45720" anchor="t" anchorCtr="0" upright="1">
                            <a:noAutofit/>
                          </wps:bodyPr>
                        </wps:wsp>
                        <wps:wsp>
                          <wps:cNvPr id="19" name="Text Box 15"/>
                          <wps:cNvSpPr txBox="1">
                            <a:spLocks noChangeArrowheads="1"/>
                          </wps:cNvSpPr>
                          <wps:spPr bwMode="auto">
                            <a:xfrm>
                              <a:off x="8055" y="3553"/>
                              <a:ext cx="102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TARGET</w:t>
                                </w:r>
                              </w:p>
                            </w:txbxContent>
                          </wps:txbx>
                          <wps:bodyPr rot="0" vert="horz" wrap="square" lIns="18000" tIns="45720" rIns="18000" bIns="45720" anchor="t" anchorCtr="0" upright="1">
                            <a:noAutofit/>
                          </wps:bodyPr>
                        </wps:wsp>
                        <wps:wsp>
                          <wps:cNvPr id="20" name="Text Box 271"/>
                          <wps:cNvSpPr txBox="1">
                            <a:spLocks noChangeArrowheads="1"/>
                          </wps:cNvSpPr>
                          <wps:spPr bwMode="auto">
                            <a:xfrm>
                              <a:off x="5111" y="3553"/>
                              <a:ext cx="935"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ACTION</w:t>
                                </w:r>
                              </w:p>
                            </w:txbxContent>
                          </wps:txbx>
                          <wps:bodyPr rot="0" vert="horz" wrap="square" lIns="18000" tIns="45720" rIns="18000" bIns="45720" anchor="t" anchorCtr="0" upright="1">
                            <a:noAutofit/>
                          </wps:bodyPr>
                        </wps:wsp>
                        <wps:wsp>
                          <wps:cNvPr id="21" name="AutoShape 272"/>
                          <wps:cNvSpPr>
                            <a:spLocks/>
                          </wps:cNvSpPr>
                          <wps:spPr bwMode="auto">
                            <a:xfrm rot="-5400000">
                              <a:off x="6719" y="2989"/>
                              <a:ext cx="286" cy="1011"/>
                            </a:xfrm>
                            <a:prstGeom prst="leftBrace">
                              <a:avLst>
                                <a:gd name="adj1" fmla="val 29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9"/>
                          <wps:cNvSpPr>
                            <a:spLocks/>
                          </wps:cNvSpPr>
                          <wps:spPr bwMode="auto">
                            <a:xfrm rot="-5400000">
                              <a:off x="8396" y="2546"/>
                              <a:ext cx="308" cy="1880"/>
                            </a:xfrm>
                            <a:prstGeom prst="leftBrace">
                              <a:avLst>
                                <a:gd name="adj1" fmla="val 50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74"/>
                        <wpg:cNvGrpSpPr>
                          <a:grpSpLocks/>
                        </wpg:cNvGrpSpPr>
                        <wpg:grpSpPr bwMode="auto">
                          <a:xfrm>
                            <a:off x="3866" y="4610"/>
                            <a:ext cx="4472" cy="993"/>
                            <a:chOff x="3866" y="4610"/>
                            <a:chExt cx="4472" cy="993"/>
                          </a:xfrm>
                        </wpg:grpSpPr>
                        <wps:wsp>
                          <wps:cNvPr id="24" name="AutoShape 275"/>
                          <wps:cNvSpPr>
                            <a:spLocks/>
                          </wps:cNvSpPr>
                          <wps:spPr bwMode="auto">
                            <a:xfrm rot="-5400000">
                              <a:off x="4085" y="4392"/>
                              <a:ext cx="459" cy="897"/>
                            </a:xfrm>
                            <a:prstGeom prst="leftBrace">
                              <a:avLst>
                                <a:gd name="adj1" fmla="val 162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76"/>
                          <wps:cNvSpPr>
                            <a:spLocks/>
                          </wps:cNvSpPr>
                          <wps:spPr bwMode="auto">
                            <a:xfrm rot="-5400000">
                              <a:off x="4868" y="4572"/>
                              <a:ext cx="474" cy="549"/>
                            </a:xfrm>
                            <a:prstGeom prst="leftBrace">
                              <a:avLst>
                                <a:gd name="adj1" fmla="val 96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77"/>
                          <wps:cNvSpPr>
                            <a:spLocks/>
                          </wps:cNvSpPr>
                          <wps:spPr bwMode="auto">
                            <a:xfrm rot="-5400000">
                              <a:off x="6210" y="4076"/>
                              <a:ext cx="474" cy="1569"/>
                            </a:xfrm>
                            <a:prstGeom prst="leftBrace">
                              <a:avLst>
                                <a:gd name="adj1" fmla="val 27584"/>
                                <a:gd name="adj2" fmla="val 47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78"/>
                          <wps:cNvSpPr>
                            <a:spLocks/>
                          </wps:cNvSpPr>
                          <wps:spPr bwMode="auto">
                            <a:xfrm rot="-5400000">
                              <a:off x="7526" y="4447"/>
                              <a:ext cx="326" cy="792"/>
                            </a:xfrm>
                            <a:prstGeom prst="leftBrace">
                              <a:avLst>
                                <a:gd name="adj1" fmla="val 132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79"/>
                          <wps:cNvSpPr txBox="1">
                            <a:spLocks noChangeArrowheads="1"/>
                          </wps:cNvSpPr>
                          <wps:spPr bwMode="auto">
                            <a:xfrm>
                              <a:off x="6293" y="4841"/>
                              <a:ext cx="455"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Q</w:t>
                                </w:r>
                                <w:r>
                                  <w:rPr>
                                    <w:szCs w:val="20"/>
                                    <w:vertAlign w:val="subscript"/>
                                    <w:lang w:val="en-US"/>
                                  </w:rPr>
                                  <w:t>T</w:t>
                                </w:r>
                              </w:p>
                            </w:txbxContent>
                          </wps:txbx>
                          <wps:bodyPr rot="0" vert="horz" wrap="square" lIns="18000" tIns="45720" rIns="18000" bIns="45720" anchor="t" anchorCtr="0" upright="1">
                            <a:noAutofit/>
                          </wps:bodyPr>
                        </wps:wsp>
                        <wps:wsp>
                          <wps:cNvPr id="30" name="Text Box 280"/>
                          <wps:cNvSpPr txBox="1">
                            <a:spLocks noChangeArrowheads="1"/>
                          </wps:cNvSpPr>
                          <wps:spPr bwMode="auto">
                            <a:xfrm>
                              <a:off x="4067" y="4805"/>
                              <a:ext cx="425"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Q</w:t>
                                </w:r>
                                <w:r>
                                  <w:rPr>
                                    <w:szCs w:val="20"/>
                                    <w:vertAlign w:val="subscript"/>
                                    <w:lang w:val="en-US"/>
                                  </w:rPr>
                                  <w:t>A</w:t>
                                </w:r>
                              </w:p>
                            </w:txbxContent>
                          </wps:txbx>
                          <wps:bodyPr rot="0" vert="horz" wrap="square" lIns="18000" tIns="45720" rIns="18000" bIns="45720" anchor="t" anchorCtr="0" upright="1">
                            <a:noAutofit/>
                          </wps:bodyPr>
                        </wps:wsp>
                        <wps:wsp>
                          <wps:cNvPr id="31" name="Text Box 281"/>
                          <wps:cNvSpPr txBox="1">
                            <a:spLocks noChangeArrowheads="1"/>
                          </wps:cNvSpPr>
                          <wps:spPr bwMode="auto">
                            <a:xfrm>
                              <a:off x="4700" y="4841"/>
                              <a:ext cx="893"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ACTION</w:t>
                                </w:r>
                              </w:p>
                            </w:txbxContent>
                          </wps:txbx>
                          <wps:bodyPr rot="0" vert="horz" wrap="square" lIns="18000" tIns="45720" rIns="18000" bIns="45720" anchor="t" anchorCtr="0" upright="1">
                            <a:noAutofit/>
                          </wps:bodyPr>
                        </wps:wsp>
                        <wps:wsp>
                          <wps:cNvPr id="32" name="Text Box 282"/>
                          <wps:cNvSpPr txBox="1">
                            <a:spLocks noChangeArrowheads="1"/>
                          </wps:cNvSpPr>
                          <wps:spPr bwMode="auto">
                            <a:xfrm>
                              <a:off x="7316" y="4841"/>
                              <a:ext cx="102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TARGET</w:t>
                                </w:r>
                              </w:p>
                            </w:txbxContent>
                          </wps:txbx>
                          <wps:bodyPr rot="0" vert="horz" wrap="square" lIns="18000" tIns="45720" rIns="18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3" o:spid="_x0000_s1026" style="position:absolute;left:0;text-align:left;margin-left:-10.8pt;margin-top:20.7pt;width:456.15pt;height:177.8pt;z-index:251831296" coordorigin="1042,2400" coordsize="9123,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7JowcAAOBGAAAOAAAAZHJzL2Uyb0RvYy54bWzsXG1v2zYQ/j5g/0HQd9ciRb2iztDEcTGg&#10;2wq0+wGKLNvaZMmTlNjdsP++O5KiZFlpm8R254L5EMimRJHHu+eOzx39+qfdOjMekrJKi3xikleW&#10;aSR5XMzTfDkxf/84G/mmUdVRPo+yIk8m5qekMn+6+vGH19tNmNBiVWTzpDSgk7wKt5uJuarrTTge&#10;V/EqWUfVq2KT5NC4KMp1VMPHcjmel9EWel9nY2pZ7nhblPNNWcRJVcG3U9FoXvH+F4skrn9bLKqk&#10;NrKJCWOr+f+S/7/D/+Or11G4LKPNKo3lMKJnjGIdpTm8VHU1jerIuC/Tg67WaVwWVbGoX8XFelws&#10;Fmmc8DnAbIjVm83bsrjf8Lksw+1yo8QEou3J6dndxr8+vC+NdA5rR00jj9awRvy1BnVtlM52swzh&#10;prfl5sPmfSmmCJfvivjPCprH/Xb8vBQ3G3fbX4o5dBjd1wWXzm5RrrELmLex44vwSS1CsquNGL50&#10;vMAmlmMaMbRR6viWK5cpXsFa4nPEYjBYbGaWaruVzweE2uJh23FcnMI4CsWL+WDl4MTM+Ac1yUYS&#10;8Py+JNipJTEwo0Yeh/OJwqNLAoyvavWrepl+fVhFm4SrbYWq00iVNVL9iFO7LnaGI8TK70LtMuod&#10;fA3ry5WlEkpm5MXNKsqXyZuyLLarJJrD8Ahf1+1GPYprWIUVdvIlrXuSrJXuROGmrOq3SbE28GJi&#10;loAtfJzRw7uqFmrW3II6XhVZOp+lWcY/lMu7m6w0HiLAoRt3ym4DqZl7t2W5sZ2YgUMdIYFHu7D4&#10;31AX67QGQM3S9cT01U1RiHK7zecwzCisozQT1zC7LOdGLGQnpFjv7nZwIwr0rph/ApGWhQBOAHq4&#10;WBXl36axBdCcmNVf91GZmEb2c47Lgq8ElBUfLPhkGmW35a7bEuUxdDUxa9MQlze1QOb7TZkuV/Am&#10;oQh58QYAZJFyIbejkuMGxRVjPb0GAygJXFAaTF2OMB1FPI8Ou54tENBmgY9qEIUNXjBQHo6dnkul&#10;gjSw26jnV2pwXqD68s5RS6JQfSH1hr8UlL95PXd4/wRWcOvf+mzEqHs7YtZ0Onozu2Ejd0Y8Z2pP&#10;b26m5F/Ub8LCVTqfJzm+pnG+hH0d+MgwQLhN5X73rKnqGt2M/x1azHh/GNxbgCh7UyLgaa5pMJq5&#10;vjdiM+aMAs/yRxYJrgPXYgGbzvan9C7Nk5dP6dxooFYEh9+KApYbRMIXGlxoHypE9ICSbW3zeYjB&#10;HI8OI4ZsuTjEcBvEQATjfhHiKq+RFTjHJqiSzg6EyCWsWhpxD3s1IeaRA2EQAi8qrQytIIQKeIhE&#10;Ao+7mg5AEPDEGFzZhDRe6BGEyJJFfV1GMXrzKOSODi+Wc4mD0fwPYhqLdQYxM7g2w6Wez0Fn/x6A&#10;qvYehw8VJ6p6hKsGmrB7BTPonV5sAhBDS7/3WR/YqriQ1HeFZY8b8BMdfEAYUw5+z1xli3Dwl2qu&#10;3pC5cv/a8fCoosc2V4d6YJRok7YlDUj5c2xBc3XgQpjNkayVWFbAA2ltrcA+QBzwP4k8tLX2eJBH&#10;NpRALR2E49yhdYz1POE4VeG443DWpPW2hDBAFbRfHY/rePyJu/Pnx+Pcieh4nG9JOhwUxMQ9yCDf&#10;hoTyLQe26ejwDxHDohAwI2K4tuC5Gv6yDZP1Dr6lxvQOvsPnPR8xJNv/Ms5vb0sg2cCL3hIgH9FD&#10;DOpxqzx7kOEQApvtQcgIbM35DRDtmvMTvBDsGh/PADwfMWRWTCOGSEPJPBcFIxWI0eH8PBWPKWbv&#10;+CSC6wGfx9Oigd/j/KgPTCSGFMQCEDkqi0AD5sgURJcX1JyfKmIYTM6fPH+hWYSvYhEw1u6bq6DF&#10;Ow7+FJSfbwdgk2CS1GE8idhyBrYF1Aa3Vt/n9Q2wlkfi/BzLFylLzflpzq/Jux8lBd8W12AiUBYB&#10;ict2A46lOcLaZJGR4LT7RUSgnFhCdJQiIxsVHu2MuUQWCylqnYFf5oYWBJK2U5U1A4/Fq1tZY8T6&#10;DyoDbaWAxVIIIScvS6CQH+gjGPX6tMYpIIxZviAxmB30sxYOhCIIYX7A051KQAccxlNzjMSl8FYe&#10;0up4Q2ctLq0kAKtzDq21X0V0Emv1XQgrEAihzEIYkAJClWNkR64ICFxHvksbqzbWizPWofod7xz1&#10;Oy6FYIUbq+X1dgesMVbiuEe2VggbfM7qfGZ3wDxLFSLIiiBw7rp+J1+erhYRBAxQPVSAp+t3OiXm&#10;VFUEdKm3c9TveA6VmwzYGuz7VhtbMBL2RIx8xEjYpkRig3au2rlenHM9TMZTUavaYd7OU7/jUtj/&#10;c2/rM1kRp0JjzNNz89Xl9J0zLDq1dtLUmmJvnujfZcpdHMD57pLx9kAyXhDkZ0cMZkEZv0AMOKvI&#10;2SiFGPoAztCpN40YJ0UMxSBpxOjsCKCATrJt7ZE9/9uU78C+We7oD2IMH6MPjDFc8gWy/EuHTveO&#10;ziCJqL6AbYc4xNdsJL/DYy57U9JH9oYZAzzdy4/sKRpLI0YXMVQ9QAcx+tU759mVeDZs74d3JUTX&#10;CA8erddBxkmDDEWlXQpktOl4frCW/4wKP3kqf/IFf6el+5nf1f4wzdV/AAAA//8DAFBLAwQUAAYA&#10;CAAAACEA22cRN+IAAAAKAQAADwAAAGRycy9kb3ducmV2LnhtbEyPy27CMBBF95X6D9ZU6g5sA+WR&#10;xkEItV2hSoVKiJ2JhyQiHkexScLf1121y9E9uvdMuh5szTpsfeVIgRwLYEi5MxUVCr4P76MlMB80&#10;GV07QgV39LDOHh9SnRjX0xd2+1CwWEI+0QrKEJqEc5+XaLUfuwYpZhfXWh3i2RbctLqP5bbmEyHm&#10;3OqK4kKpG9yWmF/3N6vgo9f9Zirfut31sr2fDi+fx51EpZ6fhs0rsIBD+IPhVz+qQxadzu5GxrNa&#10;wWgi5xFVMJMzYBFYrsQC2FnBdLUQwLOU/38h+wEAAP//AwBQSwECLQAUAAYACAAAACEAtoM4kv4A&#10;AADhAQAAEwAAAAAAAAAAAAAAAAAAAAAAW0NvbnRlbnRfVHlwZXNdLnhtbFBLAQItABQABgAIAAAA&#10;IQA4/SH/1gAAAJQBAAALAAAAAAAAAAAAAAAAAC8BAABfcmVscy8ucmVsc1BLAQItABQABgAIAAAA&#10;IQCVsn7JowcAAOBGAAAOAAAAAAAAAAAAAAAAAC4CAABkcnMvZTJvRG9jLnhtbFBLAQItABQABgAI&#10;AAAAIQDbZxE34gAAAAoBAAAPAAAAAAAAAAAAAAAAAP0JAABkcnMvZG93bnJldi54bWxQSwUGAAAA&#10;AAQABADzAAAADAsAAAAA&#10;">
                <v:group id="Group 264" o:spid="_x0000_s1027" style="position:absolute;left:1042;top:2400;width:9123;height:3556" coordorigin="1042,2400" coordsize="9123,3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 Box 5" o:spid="_x0000_s1028" type="#_x0000_t202" style="position:absolute;left:1042;top:2400;width:912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WgcIA&#10;AADbAAAADwAAAGRycy9kb3ducmV2LnhtbERPTWvCQBC9F/oflil4Ed0YSpDoKkUi2EMKVQ8eh+yY&#10;jc3Ohuxq0n/fLRR6m8f7nPV2tK14UO8bxwoW8wQEceV0w7WC82k/W4LwAVlj65gUfJOH7eb5aY25&#10;dgN/0uMYahFD2OeowITQ5VL6ypBFP3cdceSurrcYIuxrqXscYrhtZZokmbTYcGww2NHOUPV1vFsF&#10;FzLT+0d5O9nyfVpkhbf7okmVmryMbysQgcbwL/5zH3Sc/wq/v8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JaBwgAAANsAAAAPAAAAAAAAAAAAAAAAAJgCAABkcnMvZG93&#10;bnJldi54bWxQSwUGAAAAAAQABAD1AAAAhwMAAAAA&#10;" fillcolor="#c6d4e9">
                    <v:textbox inset=".5mm,.3mm,.5mm,.3mm">
                      <w:txbxContent>
                        <w:p w:rsidR="00FD507B" w:rsidRDefault="00FD507B" w:rsidP="00A97CD0">
                          <w:pPr>
                            <w:spacing w:after="0" w:line="240" w:lineRule="auto"/>
                            <w:rPr>
                              <w:b/>
                              <w:szCs w:val="20"/>
                              <w:lang w:val="en-US" w:eastAsia="en-AU"/>
                            </w:rPr>
                          </w:pPr>
                          <w:r>
                            <w:rPr>
                              <w:b/>
                              <w:szCs w:val="20"/>
                              <w:lang w:val="en-US" w:eastAsia="en-AU"/>
                            </w:rPr>
                            <w:t>Example indications:</w:t>
                          </w:r>
                        </w:p>
                        <w:p w:rsidR="00FD507B" w:rsidRDefault="00FD507B" w:rsidP="00A97CD0">
                          <w:pPr>
                            <w:spacing w:after="0" w:line="240" w:lineRule="auto"/>
                            <w:jc w:val="center"/>
                            <w:rPr>
                              <w:i/>
                              <w:szCs w:val="20"/>
                              <w:lang w:val="en-US" w:eastAsia="en-AU"/>
                            </w:rPr>
                          </w:pPr>
                          <w:r>
                            <w:rPr>
                              <w:i/>
                              <w:szCs w:val="20"/>
                              <w:lang w:val="en-US" w:eastAsia="en-AU"/>
                            </w:rPr>
                            <w:t>Traditionally used in Herbal Medicine to reduce the recurrence of urinary tract infections</w:t>
                          </w:r>
                        </w:p>
                        <w:p w:rsidR="00FD507B" w:rsidRDefault="00FD507B" w:rsidP="00A97CD0">
                          <w:pPr>
                            <w:jc w:val="center"/>
                            <w:rPr>
                              <w:i/>
                            </w:rPr>
                          </w:pPr>
                        </w:p>
                        <w:p w:rsidR="00FD507B" w:rsidRDefault="00FD507B" w:rsidP="00A97CD0">
                          <w:pPr>
                            <w:jc w:val="center"/>
                            <w:rPr>
                              <w:i/>
                            </w:rPr>
                          </w:pPr>
                        </w:p>
                        <w:p w:rsidR="00FD507B" w:rsidRDefault="00FD507B" w:rsidP="00A97CD0">
                          <w:pPr>
                            <w:jc w:val="center"/>
                            <w:rPr>
                              <w:i/>
                            </w:rPr>
                          </w:pPr>
                          <w:r>
                            <w:rPr>
                              <w:i/>
                            </w:rPr>
                            <w:t>For the temporary relief of mild to moderate headache</w:t>
                          </w:r>
                        </w:p>
                        <w:p w:rsidR="00FD507B" w:rsidRDefault="00FD507B" w:rsidP="00A97CD0">
                          <w:pPr>
                            <w:rPr>
                              <w:i/>
                            </w:rPr>
                          </w:pPr>
                        </w:p>
                        <w:p w:rsidR="00FD507B" w:rsidRDefault="00FD507B" w:rsidP="00A97CD0">
                          <w:pPr>
                            <w:rPr>
                              <w:i/>
                            </w:rPr>
                          </w:pPr>
                        </w:p>
                      </w:txbxContent>
                    </v:textbox>
                  </v:shape>
                  <v:shape id="Text Box 266" o:spid="_x0000_s1029" type="#_x0000_t202" style="position:absolute;left:6732;top:3498;width:42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xl8IA&#10;AADbAAAADwAAAGRycy9kb3ducmV2LnhtbERP32vCMBB+H/g/hBN8m6kDR+mMMgRhCDqs4vDtaM6m&#10;rLnUJrb1v18Gg73dx/fzFqvB1qKj1leOFcymCQjiwumKSwWn4+Y5BeEDssbaMSl4kIfVcvS0wEy7&#10;ng/U5aEUMYR9hgpMCE0mpS8MWfRT1xBH7upaiyHCtpS6xT6G21q+JMmrtFhxbDDY0NpQ8Z3frYLL&#10;rUu/0sd96/OmP5i9/pyfd1KpyXh4fwMRaAj/4j/3h47z5/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vGXwgAAANsAAAAPAAAAAAAAAAAAAAAAAJgCAABkcnMvZG93&#10;bnJldi54bWxQSwUGAAAAAAQABAD1AAAAhwMAAAAA&#10;" filled="f" stroked="f">
                    <v:textbox inset=".5mm,,.5mm">
                      <w:txbxContent>
                        <w:p w:rsidR="00FD507B" w:rsidRDefault="00FD507B" w:rsidP="00A97CD0">
                          <w:pPr>
                            <w:rPr>
                              <w:szCs w:val="20"/>
                            </w:rPr>
                          </w:pPr>
                          <w:r>
                            <w:rPr>
                              <w:szCs w:val="20"/>
                              <w:lang w:val="en-US"/>
                            </w:rPr>
                            <w:t>Q</w:t>
                          </w:r>
                          <w:r>
                            <w:rPr>
                              <w:szCs w:val="20"/>
                              <w:vertAlign w:val="subscript"/>
                              <w:lang w:val="en-US"/>
                            </w:rPr>
                            <w:t>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7" o:spid="_x0000_s1030" type="#_x0000_t87" style="position:absolute;left:3109;top:1979;width:414;height:3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AA&#10;AADbAAAADwAAAGRycy9kb3ducmV2LnhtbERPTUvDQBC9F/wPywi9tRMtRIndFhGkPZpYxOOwOybR&#10;7GzIbpr4712h0Ns83uds97Pr1JmH0HrRcLfOQLEYb1upNZzeX1ePoEIksdR5YQ2/HGC/u1lsqbB+&#10;kpLPVaxVCpFQkIYmxr5ADKZhR2Hte5bEffnBUUxwqNEONKVw1+F9luXoqJXU0FDPLw2bn2p0GvLR&#10;lFh9TKb87g6I/oE/N2+j1svb+fkJVOQ5XsUX99Gm+Tn8/5IOw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Y/jsAAAADbAAAADwAAAAAAAAAAAAAAAACYAgAAZHJzL2Rvd25y&#10;ZXYueG1sUEsFBgAAAAAEAAQA9QAAAIUDAAAAAA==&#10;"/>
                  <v:shape id="AutoShape 268" o:spid="_x0000_s1031" type="#_x0000_t87" style="position:absolute;left:5274;top:3302;width:474;height:5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aFcAA&#10;AADbAAAADwAAAGRycy9kb3ducmV2LnhtbERPTUvDQBC9C/0PyxS82YkKbUm7LSKIHpso0uOwO03S&#10;ZmdDdtPEf98VBG/zeJ+z3U+uVVfuQ+NFw+MiA8VivG2k0vD1+fawBhUiiaXWC2v44QD73exuS7n1&#10;oxR8LWOlUoiEnDTUMXY5YjA1OwoL37Ek7uR7RzHBvkLb05jCXYtPWbZER42khpo6fq3ZXMrBaVgO&#10;psDyezTFuX1H9Cs+Ph8Gre/n08sGVOQp/ov/3B82zV/B7y/pA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qaFcAAAADbAAAADwAAAAAAAAAAAAAAAACYAgAAZHJzL2Rvd25y&#10;ZXYueG1sUEsFBgAAAAAEAAQA9QAAAIUDAAAAAA==&#10;"/>
                  <v:shape id="Text Box 269" o:spid="_x0000_s1032" type="#_x0000_t202" style="position:absolute;left:2732;top:3553;width:114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eCcUA&#10;AADbAAAADwAAAGRycy9kb3ducmV2LnhtbESPQUvDQBCF74L/YRnBm91YUELstohQKIUqTUXxNmTH&#10;bDA7m2a3SfrvnUOhtxnem/e+Wawm36qB+tgENvA4y0ARV8E2XBv4PKwfclAxIVtsA5OBM0VYLW9v&#10;FljYMPKehjLVSkI4FmjApdQVWsfKkcc4Cx2xaL+h95hk7Wttexwl3Ld6nmXP2mPD0uCwozdH1V95&#10;8gZ+jkP+nZ9P21h2496924+nr5025v5uen0BlWhKV/PlemMFX2D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14JxQAAANsAAAAPAAAAAAAAAAAAAAAAAJgCAABkcnMv&#10;ZG93bnJldi54bWxQSwUGAAAAAAQABAD1AAAAigMAAAAA&#10;" filled="f" stroked="f">
                    <v:textbox inset=".5mm,,.5mm">
                      <w:txbxContent>
                        <w:p w:rsidR="00FD507B" w:rsidRDefault="00FD507B" w:rsidP="00A97CD0">
                          <w:pPr>
                            <w:rPr>
                              <w:szCs w:val="20"/>
                            </w:rPr>
                          </w:pPr>
                          <w:r>
                            <w:rPr>
                              <w:szCs w:val="20"/>
                              <w:lang w:val="en-US"/>
                            </w:rPr>
                            <w:t>CONTEXT</w:t>
                          </w:r>
                        </w:p>
                      </w:txbxContent>
                    </v:textbox>
                  </v:shape>
                  <v:shape id="Text Box 15" o:spid="_x0000_s1033" type="#_x0000_t202" style="position:absolute;left:8055;top:3553;width:1022;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7ksIA&#10;AADbAAAADwAAAGRycy9kb3ducmV2LnhtbERP32vCMBB+H/g/hBvsbaYbOGpnlCEMRNjEOia+Hc2t&#10;KWsutYlt/e+NIPh2H9/Pmy0GW4uOWl85VvAyTkAQF05XXCr42X0+pyB8QNZYOyYFZ/KwmI8eZphp&#10;1/OWujyUIoawz1CBCaHJpPSFIYt+7BriyP251mKIsC2lbrGP4baWr0nyJi1WHBsMNrQ0VPznJ6vg&#10;cOzSfXo+rX3e9FvzrTeT3y+p1NPj8PEOItAQ7uKbe6Xj/Clcf4kH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uSwgAAANsAAAAPAAAAAAAAAAAAAAAAAJgCAABkcnMvZG93&#10;bnJldi54bWxQSwUGAAAAAAQABAD1AAAAhwMAAAAA&#10;" filled="f" stroked="f">
                    <v:textbox inset=".5mm,,.5mm">
                      <w:txbxContent>
                        <w:p w:rsidR="00FD507B" w:rsidRDefault="00FD507B" w:rsidP="00A97CD0">
                          <w:pPr>
                            <w:rPr>
                              <w:szCs w:val="20"/>
                            </w:rPr>
                          </w:pPr>
                          <w:r>
                            <w:rPr>
                              <w:szCs w:val="20"/>
                              <w:lang w:val="en-US"/>
                            </w:rPr>
                            <w:t>TARGET</w:t>
                          </w:r>
                        </w:p>
                      </w:txbxContent>
                    </v:textbox>
                  </v:shape>
                  <v:shape id="Text Box 271" o:spid="_x0000_s1034" type="#_x0000_t202" style="position:absolute;left:5111;top:3553;width:93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YssIA&#10;AADbAAAADwAAAGRycy9kb3ducmV2LnhtbERPXWvCMBR9H/gfwh34NtMJjlJNiwjCGGzDbii+XZpr&#10;U2xuuia29d8vD4M9Hs73pphsKwbqfeNYwfMiAUFcOd1wreD7a/+UgvABWWPrmBTcyUORzx42mGk3&#10;8oGGMtQihrDPUIEJocuk9JUhi37hOuLIXVxvMUTY11L3OMZw28plkrxIiw3HBoMd7QxV1/JmFZx/&#10;hvSU3m9vvuzGg/nQn6vju1Rq/jht1yACTeFf/Od+1Qq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ZiywgAAANsAAAAPAAAAAAAAAAAAAAAAAJgCAABkcnMvZG93&#10;bnJldi54bWxQSwUGAAAAAAQABAD1AAAAhwMAAAAA&#10;" filled="f" stroked="f">
                    <v:textbox inset=".5mm,,.5mm">
                      <w:txbxContent>
                        <w:p w:rsidR="00FD507B" w:rsidRDefault="00FD507B" w:rsidP="00A97CD0">
                          <w:pPr>
                            <w:rPr>
                              <w:szCs w:val="20"/>
                            </w:rPr>
                          </w:pPr>
                          <w:r>
                            <w:rPr>
                              <w:szCs w:val="20"/>
                              <w:lang w:val="en-US"/>
                            </w:rPr>
                            <w:t>ACTION</w:t>
                          </w:r>
                        </w:p>
                      </w:txbxContent>
                    </v:textbox>
                  </v:shape>
                  <v:shape id="AutoShape 272" o:spid="_x0000_s1035" type="#_x0000_t87" style="position:absolute;left:6719;top:2989;width:286;height:10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tR8EA&#10;AADbAAAADwAAAGRycy9kb3ducmV2LnhtbESPQUvEMBSE74L/ITzBm33tCrtSN1tEED3a7iIeH8mz&#10;rTYvpUm39d8bQfA4zMw3zL5a3aDOPIXei4Yiy0GxGG97aTWcjk83d6BCJLE0eGEN3xygOlxe7Km0&#10;fpGaz01sVYJIKElDF+NYIgbTsaOQ+ZEleR9+chSTnFq0Ey0J7gbc5PkWHfWSFjoa+bFj89XMTsN2&#10;NjU2b4upP4dnRL/j99vXWevrq/XhHlTkNf6H/9ovVsOmgN8v6Qfg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bUfBAAAA2wAAAA8AAAAAAAAAAAAAAAAAmAIAAGRycy9kb3du&#10;cmV2LnhtbFBLBQYAAAAABAAEAPUAAACGAwAAAAA=&#10;"/>
                  <v:shape id="AutoShape 19" o:spid="_x0000_s1036" type="#_x0000_t87" style="position:absolute;left:8396;top:2546;width:308;height:18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zMMEA&#10;AADbAAAADwAAAGRycy9kb3ducmV2LnhtbESPQUvEMBSE7wv+h/AEb7uvVtiVumkRQfRouyIeH8mz&#10;rTYvpUm39d8bQfA4zMw3zLFa3aDOPIXei4brXQaKxXjbS6vh9fS4vQUVIomlwQtr+OYAVXmxOVJh&#10;/SI1n5vYqgSRUJCGLsaxQAymY0dh50eW5H34yVFMcmrRTrQkuBswz7I9OuolLXQ08kPH5quZnYb9&#10;bGps3hZTfw5PiP7A7zcvs9ZXl+v9HajIa/wP/7WfrYY8h98v6Qdg+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B8zDBAAAA2wAAAA8AAAAAAAAAAAAAAAAAmAIAAGRycy9kb3du&#10;cmV2LnhtbFBLBQYAAAAABAAEAPUAAACGAwAAAAA=&#10;"/>
                </v:group>
                <v:group id="Group 274" o:spid="_x0000_s1037" style="position:absolute;left:3866;top:4610;width:4472;height:993" coordorigin="3866,4610" coordsize="447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75" o:spid="_x0000_s1038" type="#_x0000_t87" style="position:absolute;left:4085;top:4392;width:459;height:8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O38IA&#10;AADbAAAADwAAAGRycy9kb3ducmV2LnhtbESPQUvDQBSE74L/YXmCN/tilSqxmyBCaY8mFfH42H0m&#10;0ezbkN006b93BcHjMDPfMNtycb068Rg6LxpuVxkoFuNtJ42Gt+Pu5hFUiCSWei+s4cwByuLyYku5&#10;9bNUfKpjoxJEQk4a2hiHHDGYlh2FlR9YkvfpR0cxybFBO9Kc4K7HdZZt0FEnaaGlgV9aNt/15DRs&#10;JlNh/T6b6qvfI/oH/rh7nbS+vlqen0BFXuJ/+K99sBrW9/D7Jf0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M7fwgAAANsAAAAPAAAAAAAAAAAAAAAAAJgCAABkcnMvZG93&#10;bnJldi54bWxQSwUGAAAAAAQABAD1AAAAhwMAAAAA&#10;"/>
                  <v:shape id="AutoShape 276" o:spid="_x0000_s1039" type="#_x0000_t87" style="position:absolute;left:4868;top:4572;width:474;height:5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rRMIA&#10;AADbAAAADwAAAGRycy9kb3ducmV2LnhtbESPQUvDQBSE74L/YXmCN/tixSqxmyBCaY8mFfH42H0m&#10;0ezbkN006b93BcHjMDPfMNtycb068Rg6LxpuVxkoFuNtJ42Gt+Pu5hFUiCSWei+s4cwByuLyYku5&#10;9bNUfKpjoxJEQk4a2hiHHDGYlh2FlR9YkvfpR0cxybFBO9Kc4K7HdZZt0FEnaaGlgV9aNt/15DRs&#10;JlNh/T6b6qvfI/oH/rh7nbS+vlqen0BFXuJ/+K99sBrW9/D7Jf0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GtEwgAAANsAAAAPAAAAAAAAAAAAAAAAAJgCAABkcnMvZG93&#10;bnJldi54bWxQSwUGAAAAAAQABAD1AAAAhwMAAAAA&#10;"/>
                  <v:shape id="AutoShape 277" o:spid="_x0000_s1040" type="#_x0000_t87" style="position:absolute;left:6210;top:4076;width:474;height:15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4p8UA&#10;AADbAAAADwAAAGRycy9kb3ducmV2LnhtbESPQWvCQBSE7wX/w/KEXopuNCg2uoottPXaGLDeHtnX&#10;JDX7NmTXJP33XUHocZiZb5jNbjC16Kh1lWUFs2kEgji3uuJCQXZ8m6xAOI+ssbZMCn7JwW47ethg&#10;om3Pn9SlvhABwi5BBaX3TSKly0sy6Ka2IQ7et20N+iDbQuoW+wA3tZxH0VIarDgslNjQa0n5Jb0a&#10;BZ15YvseP3+9LD70ud9fs9NPnCn1OB72axCeBv8fvrcPWsF8Cb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7inxQAAANsAAAAPAAAAAAAAAAAAAAAAAJgCAABkcnMv&#10;ZG93bnJldi54bWxQSwUGAAAAAAQABAD1AAAAigMAAAAA&#10;" adj=",10168"/>
                  <v:shape id="AutoShape 278" o:spid="_x0000_s1041" type="#_x0000_t87" style="position:absolute;left:7526;top:4447;width:326;height:7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R2L8A&#10;AADbAAAADwAAAGRycy9kb3ducmV2LnhtbERPzYrCMBC+L/gOYQRva7qCsnaNsoiiHq0+wNhMm7LN&#10;pDbRVp/eHIQ9fnz/i1Vva3Gn1leOFXyNExDEudMVlwrOp+3nNwgfkDXWjknBgzysloOPBabadXyk&#10;exZKEUPYp6jAhNCkUvrckEU/dg1x5ArXWgwRtqXULXYx3NZykiQzabHi2GCwobWh/C+7WQXJ5TR9&#10;Zrfrs9vPd7tNcShMGaRSo2H/+wMiUB/+xW/3XiuYxLH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MlHYvwAAANsAAAAPAAAAAAAAAAAAAAAAAJgCAABkcnMvZG93bnJl&#10;di54bWxQSwUGAAAAAAQABAD1AAAAhAMAAAAA&#10;" adj="1175"/>
                  <v:shape id="Text Box 279" o:spid="_x0000_s1042" type="#_x0000_t202" style="position:absolute;left:6293;top:4841;width:45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xL8UA&#10;AADbAAAADwAAAGRycy9kb3ducmV2LnhtbESPQWvCQBSE7wX/w/KE3uqmgiVGVymFggitmEqLt0f2&#10;NRuafRuzaxL/vSsIPQ4z8w2zXA+2Fh21vnKs4HmSgCAunK64VHD4en9KQfiArLF2TAou5GG9Gj0s&#10;MdOu5z11eShFhLDPUIEJocmk9IUhi37iGuLo/brWYoiyLaVusY9wW8tpkrxIixXHBYMNvRkq/vKz&#10;VXA8delPejlvfd70e/Opd7PvD6nU43h4XYAINIT/8L290Qqmc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zEvxQAAANsAAAAPAAAAAAAAAAAAAAAAAJgCAABkcnMv&#10;ZG93bnJldi54bWxQSwUGAAAAAAQABAD1AAAAigMAAAAA&#10;" filled="f" stroked="f">
                    <v:textbox inset=".5mm,,.5mm">
                      <w:txbxContent>
                        <w:p w:rsidR="00FD507B" w:rsidRDefault="00FD507B" w:rsidP="00A97CD0">
                          <w:pPr>
                            <w:rPr>
                              <w:szCs w:val="20"/>
                            </w:rPr>
                          </w:pPr>
                          <w:r>
                            <w:rPr>
                              <w:szCs w:val="20"/>
                              <w:lang w:val="en-US"/>
                            </w:rPr>
                            <w:t>Q</w:t>
                          </w:r>
                          <w:r>
                            <w:rPr>
                              <w:szCs w:val="20"/>
                              <w:vertAlign w:val="subscript"/>
                              <w:lang w:val="en-US"/>
                            </w:rPr>
                            <w:t>T</w:t>
                          </w:r>
                        </w:p>
                      </w:txbxContent>
                    </v:textbox>
                  </v:shape>
                  <v:shape id="Text Box 280" o:spid="_x0000_s1043" type="#_x0000_t202" style="position:absolute;left:4067;top:4805;width:42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b8IA&#10;AADbAAAADwAAAGRycy9kb3ducmV2LnhtbERPXWvCMBR9F/wP4Qp7s6mOjdIZRQRhDLZhFcfeLs1d&#10;U2xuuia29d8vDwMfD+d7tRltI3rqfO1YwSJJQRCXTtdcKTgd9/MMhA/IGhvHpOBGHjbr6WSFuXYD&#10;H6gvQiViCPscFZgQ2lxKXxqy6BPXEkfux3UWQ4RdJXWHQwy3jVym6bO0WHNsMNjSzlB5Ka5Wwfdv&#10;n31lt+ubL9rhYD7059P5XSr1MBu3LyACjeEu/ne/agW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5vwgAAANsAAAAPAAAAAAAAAAAAAAAAAJgCAABkcnMvZG93&#10;bnJldi54bWxQSwUGAAAAAAQABAD1AAAAhwMAAAAA&#10;" filled="f" stroked="f">
                    <v:textbox inset=".5mm,,.5mm">
                      <w:txbxContent>
                        <w:p w:rsidR="00FD507B" w:rsidRDefault="00FD507B" w:rsidP="00A97CD0">
                          <w:pPr>
                            <w:rPr>
                              <w:szCs w:val="20"/>
                            </w:rPr>
                          </w:pPr>
                          <w:r>
                            <w:rPr>
                              <w:szCs w:val="20"/>
                              <w:lang w:val="en-US"/>
                            </w:rPr>
                            <w:t>Q</w:t>
                          </w:r>
                          <w:r>
                            <w:rPr>
                              <w:szCs w:val="20"/>
                              <w:vertAlign w:val="subscript"/>
                              <w:lang w:val="en-US"/>
                            </w:rPr>
                            <w:t>A</w:t>
                          </w:r>
                        </w:p>
                      </w:txbxContent>
                    </v:textbox>
                  </v:shape>
                  <v:shape id="Text Box 281" o:spid="_x0000_s1044" type="#_x0000_t202" style="position:absolute;left:4700;top:4841;width:893;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r9MUA&#10;AADbAAAADwAAAGRycy9kb3ducmV2LnhtbESPQWvCQBSE74L/YXlCb7qxpSWkriKCIEJbTEXx9si+&#10;ZoPZt2l2TeK/7xYKPQ4z8w2zWA22Fh21vnKsYD5LQBAXTldcKjh+bqcpCB+QNdaOScGdPKyW49EC&#10;M+16PlCXh1JECPsMFZgQmkxKXxiy6GeuIY7el2sthijbUuoW+wi3tXxMkhdpseK4YLChjaHimt+s&#10;gst3l57T+23v86Y/mHf98Xx6k0o9TIb1K4hAQ/gP/7V3WsHTH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Kv0xQAAANsAAAAPAAAAAAAAAAAAAAAAAJgCAABkcnMv&#10;ZG93bnJldi54bWxQSwUGAAAAAAQABAD1AAAAigMAAAAA&#10;" filled="f" stroked="f">
                    <v:textbox inset=".5mm,,.5mm">
                      <w:txbxContent>
                        <w:p w:rsidR="00FD507B" w:rsidRDefault="00FD507B" w:rsidP="00A97CD0">
                          <w:pPr>
                            <w:rPr>
                              <w:szCs w:val="20"/>
                            </w:rPr>
                          </w:pPr>
                          <w:r>
                            <w:rPr>
                              <w:szCs w:val="20"/>
                              <w:lang w:val="en-US"/>
                            </w:rPr>
                            <w:t>ACTION</w:t>
                          </w:r>
                        </w:p>
                      </w:txbxContent>
                    </v:textbox>
                  </v:shape>
                  <v:shape id="Text Box 282" o:spid="_x0000_s1045" type="#_x0000_t202" style="position:absolute;left:7316;top:4841;width:1022;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1g8UA&#10;AADbAAAADwAAAGRycy9kb3ducmV2LnhtbESPQWvCQBSE74L/YXmCN92otITUVYpQEKEV01Lx9si+&#10;ZkOzb9PsmsR/3xUKPQ4z8w2z3g62Fh21vnKsYDFPQBAXTldcKvh4f5mlIHxA1lg7JgU38rDdjEdr&#10;zLTr+URdHkoRIewzVGBCaDIpfWHIop+7hjh6X661GKJsS6lb7CPc1nKZJI/SYsVxwWBDO0PFd361&#10;Ci4/XXpOb9eDz5v+ZN708eHzVSo1nQzPTyACDeE//NfeawWrJdy/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jWDxQAAANsAAAAPAAAAAAAAAAAAAAAAAJgCAABkcnMv&#10;ZG93bnJldi54bWxQSwUGAAAAAAQABAD1AAAAigMAAAAA&#10;" filled="f" stroked="f">
                    <v:textbox inset=".5mm,,.5mm">
                      <w:txbxContent>
                        <w:p w:rsidR="00FD507B" w:rsidRDefault="00FD507B" w:rsidP="00A97CD0">
                          <w:pPr>
                            <w:rPr>
                              <w:szCs w:val="20"/>
                            </w:rPr>
                          </w:pPr>
                          <w:r>
                            <w:rPr>
                              <w:szCs w:val="20"/>
                              <w:lang w:val="en-US"/>
                            </w:rPr>
                            <w:t>TARGET</w:t>
                          </w:r>
                        </w:p>
                      </w:txbxContent>
                    </v:textbox>
                  </v:shape>
                </v:group>
              </v:group>
            </w:pict>
          </mc:Fallback>
        </mc:AlternateContent>
      </w:r>
      <w:r w:rsidR="00A97CD0">
        <w:rPr>
          <w:b/>
        </w:rPr>
        <w:t>(CONTEXT) to/for the (Q</w:t>
      </w:r>
      <w:r w:rsidR="00A97CD0">
        <w:rPr>
          <w:b/>
          <w:vertAlign w:val="subscript"/>
        </w:rPr>
        <w:t>A</w:t>
      </w:r>
      <w:r w:rsidR="00A97CD0">
        <w:rPr>
          <w:b/>
        </w:rPr>
        <w:t>) ACTION of (Q</w:t>
      </w:r>
      <w:r w:rsidR="00A97CD0">
        <w:rPr>
          <w:b/>
          <w:vertAlign w:val="subscript"/>
        </w:rPr>
        <w:t>T</w:t>
      </w:r>
      <w:r w:rsidR="00A97CD0">
        <w:rPr>
          <w:b/>
        </w:rPr>
        <w:t>) TARGET</w:t>
      </w:r>
    </w:p>
    <w:p w:rsidR="00A97CD0" w:rsidRDefault="00A97CD0" w:rsidP="00A97CD0">
      <w:pPr>
        <w:jc w:val="center"/>
        <w:rPr>
          <w:b/>
        </w:rPr>
      </w:pPr>
    </w:p>
    <w:p w:rsidR="00A97CD0" w:rsidRDefault="00A97CD0" w:rsidP="00A97CD0">
      <w:pPr>
        <w:jc w:val="center"/>
        <w:rPr>
          <w:b/>
        </w:rPr>
      </w:pPr>
    </w:p>
    <w:p w:rsidR="00A97CD0" w:rsidRDefault="00A97CD0" w:rsidP="00A97CD0">
      <w:pPr>
        <w:jc w:val="center"/>
        <w:rPr>
          <w:b/>
        </w:rPr>
      </w:pPr>
    </w:p>
    <w:p w:rsidR="00A97CD0" w:rsidRDefault="00A97CD0" w:rsidP="00A97CD0">
      <w:pPr>
        <w:jc w:val="center"/>
        <w:rPr>
          <w:b/>
        </w:rPr>
      </w:pPr>
    </w:p>
    <w:p w:rsidR="00A97CD0" w:rsidRDefault="00A97CD0" w:rsidP="00A97CD0">
      <w:pPr>
        <w:jc w:val="center"/>
        <w:rPr>
          <w:b/>
        </w:rPr>
      </w:pPr>
    </w:p>
    <w:p w:rsidR="00A97CD0" w:rsidRDefault="00A97CD0" w:rsidP="00A97CD0">
      <w:pPr>
        <w:jc w:val="center"/>
        <w:rPr>
          <w:b/>
        </w:rPr>
      </w:pPr>
    </w:p>
    <w:p w:rsidR="00A97CD0" w:rsidRDefault="00A97CD0" w:rsidP="00A97CD0">
      <w:pPr>
        <w:jc w:val="center"/>
        <w:rPr>
          <w:b/>
        </w:rPr>
      </w:pPr>
    </w:p>
    <w:p w:rsidR="00A97CD0" w:rsidRDefault="00A97CD0" w:rsidP="00A97CD0"/>
    <w:p w:rsidR="00A97CD0" w:rsidRDefault="00A97CD0" w:rsidP="00A97CD0">
      <w:r>
        <w:br/>
        <w:t>Where:</w:t>
      </w:r>
    </w:p>
    <w:p w:rsidR="00A97CD0" w:rsidRDefault="00A97CD0" w:rsidP="00A97CD0">
      <w:r>
        <w:t>CONTEXT = contextual qualifier where appropriate</w:t>
      </w:r>
    </w:p>
    <w:p w:rsidR="00A97CD0" w:rsidRDefault="00A97CD0" w:rsidP="00A97CD0">
      <w:r>
        <w:t>ACTION = action, outcome or effect</w:t>
      </w:r>
    </w:p>
    <w:p w:rsidR="00A97CD0" w:rsidRDefault="00A97CD0" w:rsidP="00A97CD0">
      <w:r>
        <w:t>TARGET = the clinical condition, health status or biological factor</w:t>
      </w:r>
    </w:p>
    <w:p w:rsidR="00A97CD0" w:rsidRDefault="00A97CD0" w:rsidP="00A97CD0">
      <w:r>
        <w:t>Q</w:t>
      </w:r>
      <w:r>
        <w:rPr>
          <w:vertAlign w:val="subscript"/>
        </w:rPr>
        <w:t>A</w:t>
      </w:r>
      <w:r>
        <w:t xml:space="preserve"> = action qualifier if appropriate</w:t>
      </w:r>
    </w:p>
    <w:p w:rsidR="00A97CD0" w:rsidRDefault="00A97CD0" w:rsidP="00A97CD0">
      <w:pPr>
        <w:spacing w:before="0"/>
      </w:pPr>
      <w:r>
        <w:t>Q</w:t>
      </w:r>
      <w:r>
        <w:rPr>
          <w:vertAlign w:val="subscript"/>
        </w:rPr>
        <w:t>T</w:t>
      </w:r>
      <w:r>
        <w:t xml:space="preserve"> = target qualifier if appropriate.</w:t>
      </w:r>
      <w:r w:rsidR="00725CC7">
        <w:rPr>
          <w:noProof/>
          <w:lang w:eastAsia="en-AU"/>
        </w:rPr>
        <mc:AlternateContent>
          <mc:Choice Requires="wps">
            <w:drawing>
              <wp:anchor distT="0" distB="0" distL="114300" distR="114300" simplePos="0" relativeHeight="251829248" behindDoc="0" locked="0" layoutInCell="1" allowOverlap="1">
                <wp:simplePos x="0" y="0"/>
                <wp:positionH relativeFrom="column">
                  <wp:posOffset>-2030730</wp:posOffset>
                </wp:positionH>
                <wp:positionV relativeFrom="paragraph">
                  <wp:posOffset>55245</wp:posOffset>
                </wp:positionV>
                <wp:extent cx="109220" cy="566420"/>
                <wp:effectExtent l="0" t="0" r="24130" b="24130"/>
                <wp:wrapNone/>
                <wp:docPr id="6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220" cy="566420"/>
                        </a:xfrm>
                        <a:prstGeom prst="leftBrace">
                          <a:avLst>
                            <a:gd name="adj1" fmla="val 43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7" style="position:absolute;margin-left:-159.9pt;margin-top:4.35pt;width:8.6pt;height:44.6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WEjgIAAD0FAAAOAAAAZHJzL2Uyb0RvYy54bWysVG1v2yAQ/j5p/wHxPfVLHbex6lRdnEyT&#10;9lKp2w8ggGM2DAxInG7af99B3DRZv0zT/AEDd3runrvnuLnd9xLtuHVCqxpnFylGXFHNhNrU+Mvn&#10;1eQaI+eJYkRqxWv8yB2+nb9+dTOYiue605JxiwBEuWowNe68N1WSONrxnrgLbbgCY6ttTzwc7SZh&#10;lgyA3sskT9MyGbRlxmrKnYPb5mDE84jftpz6T23ruEeyxpCbj6uN6zqsyfyGVBtLTCfomAb5hyx6&#10;IhQEPUI1xBO0teIFVC+o1U63/oLqPtFtKyiPHIBNlv7B5qEjhkcuUBxnjmVy/w+WftzdWyRYjcsZ&#10;Ror00KO7rdcxNMpjgQbjKvB7MPc2UHTmvabfHFQuObOEgwMftB4+aAY4BHBiUfat7ZHVUPyshKbB&#10;F6+BPdrHVjweW8H3HlG4zNJZDtERBdO0LItDJgmpAlbIwljn33Ldo7CpseStf2MJDeUiFdm9dz62&#10;g42cCPuaYdT2Erq7IxIVl3l2NXb/xCc/9ZnGTAPPIyLsngIHeKVXQsqoIanQUOPZNJ/GDJyWggVj&#10;cHN2s15IiyAwEI1fCA1gZ25WbxWLYB0nbDnuPRHysAd/qQIeFGnkF8oVZfZzls6W18vrYlLk5XJS&#10;pE0zuVstikm5yq6mzWWzWDTZr5BaVlSdYIyrkN2T5LPi7yQ1Dt9BrEfRn7E4I7uK30uyyXkasRbA&#10;5ekf2UV1BUGFYXbVWrNHEFeUEQgD3hxoe6ftD4wGmN8au+9bYjlG8p2CAZllRREGPh6K6VUQkz21&#10;rE8tRFGAqrHH6LBd+MMjsTVWbLqg3NhWpcNwtMKH9j1nNR5gRiOD8T0Jj8DpOXo9v3rz3wAAAP//&#10;AwBQSwMEFAAGAAgAAAAhAHK6nZ7eAAAACwEAAA8AAABkcnMvZG93bnJldi54bWxMj7tOxDAQRXsk&#10;/sEaJLqssy8vhDgrhIRoSUCI0msPScCPKHY24e8ZKiiv5urMueVxcZadcYx98BLWqxwYeh1M71sJ&#10;ry+P2Q2wmJQ3ygaPEr4xwrG6vChVYcLsazw3qWUE8bFQErqUhoLzqDt0Kq7CgJ5uH2F0KlEcW25G&#10;NRPcWb7Jc8Gd6j196NSADx3qr2ZyEsSka968zbr+tE+chwO+b58nKa+vlvs7YAmX9FeGX31Sh4qc&#10;TmHyJjIrIdvu9+SeJOx2B2DUyDZCCGAn4q9vgVcl/7+h+gEAAP//AwBQSwECLQAUAAYACAAAACEA&#10;toM4kv4AAADhAQAAEwAAAAAAAAAAAAAAAAAAAAAAW0NvbnRlbnRfVHlwZXNdLnhtbFBLAQItABQA&#10;BgAIAAAAIQA4/SH/1gAAAJQBAAALAAAAAAAAAAAAAAAAAC8BAABfcmVscy8ucmVsc1BLAQItABQA&#10;BgAIAAAAIQBT42WEjgIAAD0FAAAOAAAAAAAAAAAAAAAAAC4CAABkcnMvZTJvRG9jLnhtbFBLAQIt&#10;ABQABgAIAAAAIQByup2e3gAAAAsBAAAPAAAAAAAAAAAAAAAAAOgEAABkcnMvZG93bnJldi54bWxQ&#10;SwUGAAAAAAQABADzAAAA8wUAAAAA&#10;"/>
            </w:pict>
          </mc:Fallback>
        </mc:AlternateContent>
      </w:r>
      <w:r w:rsidR="00725CC7">
        <w:rPr>
          <w:noProof/>
          <w:lang w:eastAsia="en-AU"/>
        </w:rPr>
        <mc:AlternateContent>
          <mc:Choice Requires="wps">
            <w:drawing>
              <wp:anchor distT="0" distB="0" distL="114300" distR="114300" simplePos="0" relativeHeight="251821056" behindDoc="0" locked="0" layoutInCell="1" allowOverlap="1">
                <wp:simplePos x="0" y="0"/>
                <wp:positionH relativeFrom="column">
                  <wp:posOffset>-2823845</wp:posOffset>
                </wp:positionH>
                <wp:positionV relativeFrom="paragraph">
                  <wp:posOffset>213360</wp:posOffset>
                </wp:positionV>
                <wp:extent cx="180975" cy="321945"/>
                <wp:effectExtent l="5715" t="0" r="15240" b="15240"/>
                <wp:wrapNone/>
                <wp:docPr id="6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0975" cy="321945"/>
                        </a:xfrm>
                        <a:prstGeom prst="leftBrace">
                          <a:avLst>
                            <a:gd name="adj1" fmla="val 14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22.35pt;margin-top:16.8pt;width:14.25pt;height:25.3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W4kAIAAD0FAAAOAAAAZHJzL2Uyb0RvYy54bWysVNuO0zAQfUfiHyy/t7ls2m2jpqulaRHS&#10;AistfIBrO43BsYPtNl0Q/87YSUvLviBEHhyPZ3Q8Z+aMF3fHRqIDN1ZoVeBkHGPEFdVMqF2BP3/a&#10;jGYYWUcUI1IrXuBnbvHd8vWrRdfmPNW1lowbBCDK5l1b4Nq5No8iS2veEDvWLVfgrLRpiAPT7CJm&#10;SAfojYzSOJ5GnTasNZpya+G07J14GfCrilP3saosd0gWGHJzYTVh3fo1Wi5IvjOkrQUd0iD/kEVD&#10;hIJLz1AlcQTtjXgB1QhqtNWVG1PdRLqqBOWBA7BJ4j/YPNWk5YELFMe25zLZ/wdLPxweDRKswFPo&#10;lCIN9Oh+73S4GqWJL1DX2hzintpH4yna9kHTrxYc0ZXHGxZi0LZ7rxngEMAJRTlWpkFGQ/GTKTQN&#10;vnAM7NExtOL53Ap+dIjCYTKL57cTjCi4btJknk18JhHJPZbPojXWveW6QX5TYMkr98YQ6stFcnJ4&#10;sC60gw2cCPuSYFQ1Erp7IBIl2SwNkNCyi5j0MmYSMu2vHRAhgdPFHl7pjZASIkguFeoKPJ8Aqjet&#10;loJ5ZzDMbruSBsHFQDR8A5urMKP3igWwmhO2HvaOCNnv4XKpPB4UaeDnyxVk9mMez9ez9SwbZel0&#10;Pcrishzdb1bZaLpJbiflTblalclPn1qS5bVgjCuf3UnySfZ3khqGrxfrWfRXLOwl2U34XpKNrtMI&#10;nQUup39gF9TlBdUrcKvZM4gryAgmGd4caHutzXeMOpjfAttve2I4RvKdggGZJ1nmBz4Y2eQ2BcNc&#10;eraXHqIoQBXYYdRvV65/JPatEbvaKze0VWk/HJVwXhVe8H1WgwEzGhgM74l/BC7tEPX71Vv+AgAA&#10;//8DAFBLAwQUAAYACAAAACEAUIlDGd8AAAALAQAADwAAAGRycy9kb3ducmV2LnhtbEyPQU+EMBSE&#10;7yb+h+aZeGPL7sJikLIxJsarsMZ47LZPQNtXQsuC/9560uNkJjPfVMfVGnbByQ+OBGw3KTAk5fRA&#10;nYDX01NyB8wHSVoaRyjgGz0c6+urSpbaLdTgpQ0diyXkSymgD2EsOfeqRyv9xo1I0ftwk5Uhyqnj&#10;epJLLLeG79L0wK0cKC70csTHHtVXO1sBh1k1vH1bVPNpnjl3Bb7vX2Yhbm/Wh3tgAdfwF4Zf/IgO&#10;dWQ6u5m0Z0ZAkuV5ZA8CsqwAFhNJluZbYGcBxX4HvK74/w/1DwAAAP//AwBQSwECLQAUAAYACAAA&#10;ACEAtoM4kv4AAADhAQAAEwAAAAAAAAAAAAAAAAAAAAAAW0NvbnRlbnRfVHlwZXNdLnhtbFBLAQIt&#10;ABQABgAIAAAAIQA4/SH/1gAAAJQBAAALAAAAAAAAAAAAAAAAAC8BAABfcmVscy8ucmVsc1BLAQIt&#10;ABQABgAIAAAAIQC5N9W4kAIAAD0FAAAOAAAAAAAAAAAAAAAAAC4CAABkcnMvZTJvRG9jLnhtbFBL&#10;AQItABQABgAIAAAAIQBQiUMZ3wAAAAsBAAAPAAAAAAAAAAAAAAAAAOoEAABkcnMvZG93bnJldi54&#10;bWxQSwUGAAAAAAQABADzAAAA9gUAAAAA&#10;"/>
            </w:pict>
          </mc:Fallback>
        </mc:AlternateContent>
      </w:r>
      <w:r w:rsidR="00725CC7">
        <w:rPr>
          <w:noProof/>
          <w:lang w:eastAsia="en-AU"/>
        </w:rPr>
        <mc:AlternateContent>
          <mc:Choice Requires="wps">
            <w:drawing>
              <wp:anchor distT="0" distB="0" distL="114300" distR="114300" simplePos="0" relativeHeight="251817984" behindDoc="0" locked="0" layoutInCell="1" allowOverlap="1">
                <wp:simplePos x="0" y="0"/>
                <wp:positionH relativeFrom="column">
                  <wp:posOffset>-4023360</wp:posOffset>
                </wp:positionH>
                <wp:positionV relativeFrom="paragraph">
                  <wp:posOffset>-539115</wp:posOffset>
                </wp:positionV>
                <wp:extent cx="117475" cy="1748790"/>
                <wp:effectExtent l="3493" t="0" r="19367" b="19368"/>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7475" cy="1748790"/>
                        </a:xfrm>
                        <a:prstGeom prst="leftBrace">
                          <a:avLst>
                            <a:gd name="adj1" fmla="val 1240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7" style="position:absolute;margin-left:-316.8pt;margin-top:-42.45pt;width:9.25pt;height:137.7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QkAIAAD8FAAAOAAAAZHJzL2Uyb0RvYy54bWysVNuO0zAQfUfiHyy/d3Mh6SXadLU0LUJa&#10;YKWFD3BtpzE4drDdpruIf2fsZEvLviBEHpyxZ3Q8Z+aMr2+OrUQHbqzQqsTJVYwRV1QzoXYl/vJ5&#10;M5ljZB1RjEiteIkfucU3y9evrvuu4KlutGTcIABRtui7EjfOdUUUWdrwltgr3XEFzlqbljjYml3E&#10;DOkBvZVRGsfTqNeGdUZTbi2cVoMTLwN+XXPqPtW15Q7JEkNuLqwmrFu/RstrUuwM6RpBxzTIP2TR&#10;EqHg0hNURRxBeyNeQLWCGm117a6obiNd14LywAHYJPEfbB4a0vHABYpju1OZ7P+DpR8P9wYJVuLp&#10;DCNFWujR7d7pcDVKUl+gvrMFxD1098ZTtN2dpt8sOKILj99YiEHb/oNmgEMAJxTlWJsWGQ3FT6bQ&#10;NPjCMbBHx9CKx1Mr+NEhCodJMstmOUYUXGDOZ4vQq4gUHsyn0Rnr3nHdIm+UWPLavTWE+nqRghzu&#10;rAv9YCMpwr4mGNWthPYeiARqWZxnY//PgtLzoDzk6pmeIMF6vtnjK70RUgYVSYX6Ei/yNA8pWC0F&#10;804fZs1uu5IGwc1ANXz+agC7CDN6r1gAazhh69F2RMjBhnipPB6UaSToCxaE9mMRL9bz9TybZOl0&#10;PcniqprcblbZZLpJZnn1plqtquSnTy3JikYwxpXP7ln0SfZ3ohrHb5DrSfYXLC7IbsL3kmx0mUao&#10;BXB5/gd2QV9eUoMGt5o9gryCkGCW4dWBvjfaPGHUwwSX2H7fE8Mxku8VjMgiyTI/8mGT5bMUNubc&#10;sz33EEUBqsQOo8FcueGZ2HdG7Bqv3dBWpf141ML59nnJD1mNG5jSwGB8UfwzcL4PUb/fveUvAAAA&#10;//8DAFBLAwQUAAYACAAAACEA/dvmYN4AAAALAQAADwAAAGRycy9kb3ducmV2LnhtbEyPy07DMBBF&#10;90j8gzVI7FKHtrhVGqdCSIgtCQixdO1pEvAjip0m/D3DCpaje3Xm3PK4OMsuOMY+eAl3qxwYeh1M&#10;71sJb69P2R5YTMobZYNHCd8Y4VhdX5WqMGH2NV6a1DKC+FgoCV1KQ8F51B06FVdhQE/ZOYxOJTrH&#10;lptRzQR3lq/zXHCnek8fOjXgY4f6q5mcBDHpmjfvs64/7TPnYYcfm5dJytub5eEALOGS/srwq0/q&#10;UJHTKUzeRGYlZDuxpjFJwnZzD4wa2XYvBLAT8SnhVcn/b6h+AAAA//8DAFBLAQItABQABgAIAAAA&#10;IQC2gziS/gAAAOEBAAATAAAAAAAAAAAAAAAAAAAAAABbQ29udGVudF9UeXBlc10ueG1sUEsBAi0A&#10;FAAGAAgAAAAhADj9If/WAAAAlAEAAAsAAAAAAAAAAAAAAAAALwEAAF9yZWxzLy5yZWxzUEsBAi0A&#10;FAAGAAgAAAAhAE9z9VCQAgAAPwUAAA4AAAAAAAAAAAAAAAAALgIAAGRycy9lMm9Eb2MueG1sUEsB&#10;Ai0AFAAGAAgAAAAhAP3b5mDeAAAACwEAAA8AAAAAAAAAAAAAAAAA6gQAAGRycy9kb3ducmV2Lnht&#10;bFBLBQYAAAAABAAEAPMAAAD1BQAAAAA=&#10;"/>
            </w:pict>
          </mc:Fallback>
        </mc:AlternateContent>
      </w:r>
      <w:r w:rsidR="00725CC7">
        <w:rPr>
          <w:noProof/>
          <w:lang w:eastAsia="en-AU"/>
        </w:rPr>
        <mc:AlternateContent>
          <mc:Choice Requires="wps">
            <w:drawing>
              <wp:anchor distT="0" distB="0" distL="114300" distR="114300" simplePos="0" relativeHeight="251816960" behindDoc="0" locked="0" layoutInCell="1" allowOverlap="1">
                <wp:simplePos x="0" y="0"/>
                <wp:positionH relativeFrom="column">
                  <wp:posOffset>-2132330</wp:posOffset>
                </wp:positionH>
                <wp:positionV relativeFrom="paragraph">
                  <wp:posOffset>37465</wp:posOffset>
                </wp:positionV>
                <wp:extent cx="238125" cy="483870"/>
                <wp:effectExtent l="0" t="0" r="9525"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Q</w:t>
                            </w:r>
                            <w:r>
                              <w:rPr>
                                <w:szCs w:val="20"/>
                                <w:vertAlign w:val="subscript"/>
                                <w:lang w:val="en-US"/>
                              </w:rPr>
                              <w:t>T</w:t>
                            </w:r>
                          </w:p>
                        </w:txbxContent>
                      </wps:txbx>
                      <wps:bodyPr rot="0" vert="horz" wrap="square" lIns="1800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167.9pt;margin-top:2.95pt;width:18.75pt;height:38.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JvugIAAMEFAAAOAAAAZHJzL2Uyb0RvYy54bWysVNtunDAQfa/Uf7D8TrjEywIKWyXLUlVK&#10;L1LSD/CCWayCTW3vsmnVf+/Y7C3JS9WWB2R77DNn5szMzbt936EdU5pLkePwKsCIiUrWXGxy/PWx&#10;9BKMtKGipp0ULMdPTON3i7dvbsYhY5FsZVczhQBE6GwcctwaM2S+r6uW9VRfyYEJMDZS9dTAVm38&#10;WtER0PvOj4Ig9kep6kHJimkNp8VkxAuH3zSsMp+bRjODuhwDN+P+yv3X9u8vbmi2UXRoeXWgQf+C&#10;RU+5AKcnqIIairaKv4LqeaWklo25qmTvy6bhFXMxQDRh8CKah5YOzMUCydHDKU36/8FWn3ZfFOJ1&#10;jmOCkaA9aPTI9gbdyT0KY5ufcdAZXHsY4KLZwzno7GLVw72svmkk5LKlYsNulZJjy2gN/EL70r94&#10;OuFoC7IeP8oa/NCtkQ5o36jeJg/SgQAddHo6aWO5VHAYXSdhNMOoAhNJrpO5086n2fHxoLR5z2SP&#10;7CLHCqR34HR3r40lQ7PjFetLyJJ3nZO/E88O4OJ0Aq7hqbVZEk7Nn2mQrpJVQjwSxSuPBEXh3ZZL&#10;4sVlOJ8V18VyWYS/rN+QZC2vayasm2NlheTPlDvU+FQTp9rSsuO1hbOUtNqsl51COwqVXbrPpRws&#10;52v+cxouCRDLi5DCiAR3UeqVcTL3SElmXjoPEi8I07s0DkhKivJ5SPdcsH8PCY05TmegqQvnTPpF&#10;bIH7XsdGs54bmB0d73OcnC7RzFbgStROWkN5N60vUmHpn1MBch+FdvVqS3QqVrNf711rpMc2WMv6&#10;CQpYSSgwqFKYe7BopfqB0QgzJMf6+5YqhlH3QdgmsLRg6LgNmc0j2KhLy/rSQkUFUDk2GE3LpZkG&#10;1XZQfNOCp2Pb3ULjlNwVte2widWh3WBOuNgOM80Oosu9u3WevIvfAAAA//8DAFBLAwQUAAYACAAA&#10;ACEAyY2vmOIAAAAKAQAADwAAAGRycy9kb3ducmV2LnhtbEyPzU7DMBCE70i8g7VI3FK7iYLSkE1F&#10;K1XAAaktPIAbL0lU/4TYbVOeHnOC42hGM99Uy8lodqbR984izGcCGNnGqd62CB/vm6QA5oO0Smpn&#10;CeFKHpb17U0lS+UudkfnfWhZLLG+lAhdCEPJuW86MtLP3EA2ep9uNDJEObZcjfISy43mqRAP3Mje&#10;xoVODrTuqDnuTwah141+/RJv6624ts/5ZrX7Pr6sEO/vpqdHYIGm8BeGX/yIDnVkOriTVZ5phCTL&#10;8sgeEPIFsBhI0kWRATsgFOkceF3x/xfqHwAAAP//AwBQSwECLQAUAAYACAAAACEAtoM4kv4AAADh&#10;AQAAEwAAAAAAAAAAAAAAAAAAAAAAW0NvbnRlbnRfVHlwZXNdLnhtbFBLAQItABQABgAIAAAAIQA4&#10;/SH/1gAAAJQBAAALAAAAAAAAAAAAAAAAAC8BAABfcmVscy8ucmVsc1BLAQItABQABgAIAAAAIQDD&#10;F6JvugIAAMEFAAAOAAAAAAAAAAAAAAAAAC4CAABkcnMvZTJvRG9jLnhtbFBLAQItABQABgAIAAAA&#10;IQDJja+Y4gAAAAoBAAAPAAAAAAAAAAAAAAAAABQFAABkcnMvZG93bnJldi54bWxQSwUGAAAAAAQA&#10;BADzAAAAIwYAAAAA&#10;" filled="f" stroked="f">
                <v:textbox style="mso-fit-shape-to-text:t" inset=".5mm,,.5mm">
                  <w:txbxContent>
                    <w:p w:rsidR="00FD507B" w:rsidRDefault="00FD507B" w:rsidP="00A97CD0">
                      <w:pPr>
                        <w:rPr>
                          <w:szCs w:val="20"/>
                        </w:rPr>
                      </w:pPr>
                      <w:r>
                        <w:rPr>
                          <w:szCs w:val="20"/>
                          <w:lang w:val="en-US"/>
                        </w:rPr>
                        <w:t>Q</w:t>
                      </w:r>
                      <w:r>
                        <w:rPr>
                          <w:szCs w:val="20"/>
                          <w:vertAlign w:val="subscript"/>
                          <w:lang w:val="en-US"/>
                        </w:rPr>
                        <w:t>T</w:t>
                      </w:r>
                    </w:p>
                  </w:txbxContent>
                </v:textbox>
              </v:shape>
            </w:pict>
          </mc:Fallback>
        </mc:AlternateContent>
      </w:r>
      <w:r w:rsidR="00725CC7">
        <w:rPr>
          <w:noProof/>
          <w:lang w:eastAsia="en-AU"/>
        </w:rPr>
        <mc:AlternateContent>
          <mc:Choice Requires="wps">
            <w:drawing>
              <wp:anchor distT="0" distB="0" distL="114300" distR="114300" simplePos="0" relativeHeight="251825152" behindDoc="0" locked="0" layoutInCell="1" allowOverlap="1">
                <wp:simplePos x="0" y="0"/>
                <wp:positionH relativeFrom="column">
                  <wp:posOffset>-4291330</wp:posOffset>
                </wp:positionH>
                <wp:positionV relativeFrom="paragraph">
                  <wp:posOffset>37465</wp:posOffset>
                </wp:positionV>
                <wp:extent cx="643255" cy="483870"/>
                <wp:effectExtent l="0" t="0" r="4445" b="0"/>
                <wp:wrapNone/>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CONTEXT</w:t>
                            </w:r>
                          </w:p>
                        </w:txbxContent>
                      </wps:txbx>
                      <wps:bodyPr rot="0" vert="horz" wrap="square" lIns="1800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337.9pt;margin-top:2.95pt;width:50.65pt;height:38.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UmuAIAAMI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xwvMOKkhx7d00mjGzEh3zf1GQeVgdvdAI56gnPos+WqhltRfVWIi3VL+I5eSynGlpIa8rM33bOr&#10;M44yINvxg6ghDtlrYYGmRvameFAOBOjQp4dTb0wuFRzG4SKIIowqMIXJIlna3rkkO14epNLvqOiR&#10;WeRYQustODncKg00wPXoYmJxUbKus+3v+LMDcJxPIDRcNTaThO3mj9RLN8kmCZ0wiDdO6BWFc12u&#10;Qycu/WVULIr1uvB/mrh+mLWsrik3YY7K8sM/69yjxmdNnLSlRMdqA2dSUnK3XXcSHQgou7SfaRYk&#10;f+bmPk/DmoHLC0p+EHo3QeqUcbJ0wjKMnHTpJY7npzdp7IVpWJTPKd0yTv+dEhpznEZBNGvpt9w8&#10;+73mRrKeaZgdHetznJycSGYUuOG1ba0mrJvXZ6Uw6T+VAip2bLTVq5HoLFY9bSf7NHyrNSPmragf&#10;QMFSgMJApjD4YNEK+R2jEYZIjtW3PZEUo+49N6/A5AVTx27CaBnARp5btucWwiuAyrHGaF6u9Typ&#10;9oNkuxYiHd/dNbyckllVP2UFlMwGBoUl9zjUzCQ631uvp9G7+gUAAP//AwBQSwMEFAAGAAgAAAAh&#10;ACw4qpbiAAAACgEAAA8AAABkcnMvZG93bnJldi54bWxMj8tOwzAURPdI/IN1kdildivcR5qbilaq&#10;gAUSLXyAG1+SqH6E2G1Tvh6zguVoRjNnitVgDTtTH1rvEMYjAYxc5XXraoSP9202BxaicloZ7wjh&#10;SgFW5e1NoXLtL25H532sWSpxIVcITYxdznmoGrIqjHxHLnmfvrcqJtnXXPfqksqt4RMhptyq1qWF&#10;RnW0aag67k8WoTWVefkSr5s3ca2f5Ha9+z4+rxHv74bHJbBIQ/wLwy9+QocyMR38yenADEI2ncnE&#10;HhHkAlgKZHL2IIEdEOaTMfCy4P8vlD8AAAD//wMAUEsBAi0AFAAGAAgAAAAhALaDOJL+AAAA4QEA&#10;ABMAAAAAAAAAAAAAAAAAAAAAAFtDb250ZW50X1R5cGVzXS54bWxQSwECLQAUAAYACAAAACEAOP0h&#10;/9YAAACUAQAACwAAAAAAAAAAAAAAAAAvAQAAX3JlbHMvLnJlbHNQSwECLQAUAAYACAAAACEA0zAl&#10;JrgCAADCBQAADgAAAAAAAAAAAAAAAAAuAgAAZHJzL2Uyb0RvYy54bWxQSwECLQAUAAYACAAAACEA&#10;LDiqluIAAAAKAQAADwAAAAAAAAAAAAAAAAASBQAAZHJzL2Rvd25yZXYueG1sUEsFBgAAAAAEAAQA&#10;8wAAACEGAAAAAA==&#10;" filled="f" stroked="f">
                <v:textbox style="mso-fit-shape-to-text:t" inset=".5mm,,.5mm">
                  <w:txbxContent>
                    <w:p w:rsidR="00FD507B" w:rsidRDefault="00FD507B" w:rsidP="00A97CD0">
                      <w:pPr>
                        <w:rPr>
                          <w:szCs w:val="20"/>
                        </w:rPr>
                      </w:pPr>
                      <w:r>
                        <w:rPr>
                          <w:szCs w:val="20"/>
                          <w:lang w:val="en-US"/>
                        </w:rPr>
                        <w:t>CONTEXT</w:t>
                      </w:r>
                    </w:p>
                  </w:txbxContent>
                </v:textbox>
              </v:shape>
            </w:pict>
          </mc:Fallback>
        </mc:AlternateContent>
      </w:r>
      <w:r w:rsidR="00725CC7">
        <w:rPr>
          <w:noProof/>
          <w:lang w:eastAsia="en-AU"/>
        </w:rPr>
        <mc:AlternateContent>
          <mc:Choice Requires="wps">
            <w:drawing>
              <wp:anchor distT="0" distB="0" distL="114300" distR="114300" simplePos="0" relativeHeight="251828224" behindDoc="0" locked="0" layoutInCell="1" allowOverlap="1">
                <wp:simplePos x="0" y="0"/>
                <wp:positionH relativeFrom="column">
                  <wp:posOffset>-2957830</wp:posOffset>
                </wp:positionH>
                <wp:positionV relativeFrom="paragraph">
                  <wp:posOffset>37465</wp:posOffset>
                </wp:positionV>
                <wp:extent cx="524510" cy="483870"/>
                <wp:effectExtent l="0" t="0" r="8890" b="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ACTION</w:t>
                            </w:r>
                          </w:p>
                        </w:txbxContent>
                      </wps:txbx>
                      <wps:bodyPr rot="0" vert="horz" wrap="square" lIns="1800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margin-left:-232.9pt;margin-top:2.95pt;width:41.3pt;height:38.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rHu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7MII0F76NEj2xt0J/conNv6jIPOwO1hAEezh3Pos8tVD/ey+qaRkMuWig27VUqOLaM18AvtTf/i&#10;6oSjLch6/ChriEO3RjqgfaN6WzwoBwJ06NPTqTeWSwWHcUTiECwVmEjyLpm73vk0O14elDbvmeyR&#10;XeRYQesdON3da2PJ0OzoYmMJWfKuc+3vxLMDcJxOIDRctTZLwnXzZxqkq2SVEI9Es5VHgqLwbssl&#10;8WZlOI+Ld8VyWYS/bNyQZC2vayZsmKOyQvJnnTtofNLESVtadry2cJaSVpv1slNoR0HZpftcycFy&#10;dvOf03BFgFxepBRGJLiLUq+cJXOPlCT20nmQeEGY3qWzgKSkKJ+ndM8F+/eU0JjjNI7iSUtn0i9y&#10;C9z3Ojea9dzA7Oh4n+Pk5EQzq8CVqF1rDeXdtL4ohaV/LgW0+9hop1cr0UmsZr/eu6cROjVbMa9l&#10;/QQKVhIUBmKEwQeLVqofGI0wRHKsv2+pYhh1H4R9BZYXTB23IfE8go26tKwvLVRUAJVjg9G0XJpp&#10;Um0HxTctRDq+u1t4OSV3qj6zOrw3GBQuucNQs5Pocu+8zqN38RsAAP//AwBQSwMEFAAGAAgAAAAh&#10;AI+GtTjiAAAACgEAAA8AAABkcnMvZG93bnJldi54bWxMj8FOwzAQRO9I/IO1SNxSuympQsimopUq&#10;4IBECx/gxiaJaq9D7LZpv77mBMfRjGbelIvRGnbUg+8cIUwnApim2qmOGoSvz3WSA/NBkpLGkUY4&#10;aw+L6vamlIVyJ9ro4zY0LJaQLyRCG0JfcO7rVlvpJ67XFL1vN1gZohwargZ5iuXW8FSIObeyo7jQ&#10;yl6vWl3vtweL0JnavP2I99WHODcv2Xq5uexfl4j3d+PzE7Cgx/AXhl/8iA5VZNq5AynPDELyMM8i&#10;e0DIHoHFQDLLZymwHUKeToFXJf9/oboCAAD//wMAUEsBAi0AFAAGAAgAAAAhALaDOJL+AAAA4QEA&#10;ABMAAAAAAAAAAAAAAAAAAAAAAFtDb250ZW50X1R5cGVzXS54bWxQSwECLQAUAAYACAAAACEAOP0h&#10;/9YAAACUAQAACwAAAAAAAAAAAAAAAAAvAQAAX3JlbHMvLnJlbHNQSwECLQAUAAYACAAAACEAN7aK&#10;x7gCAADCBQAADgAAAAAAAAAAAAAAAAAuAgAAZHJzL2Uyb0RvYy54bWxQSwECLQAUAAYACAAAACEA&#10;j4a1OOIAAAAKAQAADwAAAAAAAAAAAAAAAAASBQAAZHJzL2Rvd25yZXYueG1sUEsFBgAAAAAEAAQA&#10;8wAAACEGAAAAAA==&#10;" filled="f" stroked="f">
                <v:textbox style="mso-fit-shape-to-text:t" inset=".5mm,,.5mm">
                  <w:txbxContent>
                    <w:p w:rsidR="00FD507B" w:rsidRDefault="00FD507B" w:rsidP="00A97CD0">
                      <w:pPr>
                        <w:rPr>
                          <w:szCs w:val="20"/>
                        </w:rPr>
                      </w:pPr>
                      <w:r>
                        <w:rPr>
                          <w:szCs w:val="20"/>
                          <w:lang w:val="en-US"/>
                        </w:rPr>
                        <w:t>ACTION</w:t>
                      </w:r>
                    </w:p>
                  </w:txbxContent>
                </v:textbox>
              </v:shape>
            </w:pict>
          </mc:Fallback>
        </mc:AlternateContent>
      </w:r>
      <w:r w:rsidR="00725CC7">
        <w:rPr>
          <w:noProof/>
          <w:lang w:eastAsia="en-AU"/>
        </w:rPr>
        <mc:AlternateContent>
          <mc:Choice Requires="wps">
            <w:drawing>
              <wp:anchor distT="0" distB="0" distL="114300" distR="114300" simplePos="0" relativeHeight="251823104" behindDoc="0" locked="0" layoutInCell="1" allowOverlap="1">
                <wp:simplePos x="0" y="0"/>
                <wp:positionH relativeFrom="column">
                  <wp:posOffset>-1501140</wp:posOffset>
                </wp:positionH>
                <wp:positionV relativeFrom="paragraph">
                  <wp:posOffset>-34925</wp:posOffset>
                </wp:positionV>
                <wp:extent cx="71755" cy="444500"/>
                <wp:effectExtent l="4128" t="0" r="27622" b="27623"/>
                <wp:wrapNone/>
                <wp:docPr id="5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1755" cy="444500"/>
                        </a:xfrm>
                        <a:prstGeom prst="leftBrace">
                          <a:avLst>
                            <a:gd name="adj1" fmla="val 52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7" style="position:absolute;margin-left:-118.2pt;margin-top:-2.75pt;width:5.65pt;height:3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khjgIAADwFAAAOAAAAZHJzL2Uyb0RvYy54bWysVNuO0zAQfUfiHyy/d3MhabfRpqulaRHS&#10;AistfIBrO43BsYPtNt1F/DtjJy0t+4IQeXBtz/TMnJkzvrk9tBLtubFCqxInVzFGXFHNhNqW+Mvn&#10;9eQaI+uIYkRqxUv8xC2+Xbx+ddN3BU91oyXjBgGIskXflbhxriuiyNKGt8Re6Y4rMNbatMTB0Wwj&#10;ZkgP6K2M0jieRr02rDOacmvhthqMeBHw65pT96muLXdIlhhyc2E1Yd34NVrckGJrSNcIOqZB/iGL&#10;lggFQU9QFXEE7Yx4AdUKarTVtbuiuo10XQvKAwdgk8R/sHlsSMcDFyiO7U5lsv8Pln7cPxgkWInz&#10;KUaKtNCju53TITRKp75AfWcL8HvsHoynaLt7Tb9ZMEQXFn+w4IM2/QfNAIcATijKoTYtMhqKn0yh&#10;afCFa2CPDqEVT6dW8INDFC5nySzPMaJgybIsh3/4eKTwUD6Jzlj3jusW+U2JJa/dW0OorxYpyP7e&#10;utANNlIi7GuCUd1KaO6eSJSn83g2Nv/MJ73wCYkOYUdESOAY2MMrvRZSggcppEJ9ied5mocMrJaC&#10;eaO3WbPdLKVBEBh4hm9kc+Fm9E6xANZwwlbj3hEhhz0El8rjQY1Gfr5aQWU/5vF8db26ziZZOl1N&#10;sriqJnfrZTaZrqGQ1ZtquaySnz61JCsawRhXPruj4pPs7xQ1zt6g1ZPmL1hckF2H7yXZ6DKN0Fng&#10;cvwN7IK4vJ4GAW40ewJtBRXBIMOTA21vtHnGqIfxLbH9viOGYyTfK5iPeZJlft7DIctnKRzMuWVz&#10;biGKAlSJHUbDdumGN2LXGbFtvHBDW5X2s1EL51Xh9T5kNR5gRAOD8Tnxb8D5OXj9fvQWvwAAAP//&#10;AwBQSwMEFAAGAAgAAAAhADB5BUPiAAAACwEAAA8AAABkcnMvZG93bnJldi54bWxMj8tqwzAQRfeF&#10;/oOYQjfFkR/k5XocQh8U0kCJ0+wVa2qbWpKRlMT9+yqrdjkzhzvnFqtR9exM1nVGIySTGBjp2shO&#10;Nwif+9doAcx5oaXojSaEH3KwKm9vCpFLc9E7Ole+YSFEu1wgtN4POeeubkkJNzED6XD7MlYJH0bb&#10;cGnFJYSrnqdxPONKdDp8aMVATy3V39VJIXQfy/ft5vBsxVtyyHaLF6q26wfE+7tx/QjM0+j/YLjq&#10;B3Uog9PRnLR0rEeI0tl0HliENAsdAhEly+vmiJBNE+Blwf93KH8BAAD//wMAUEsBAi0AFAAGAAgA&#10;AAAhALaDOJL+AAAA4QEAABMAAAAAAAAAAAAAAAAAAAAAAFtDb250ZW50X1R5cGVzXS54bWxQSwEC&#10;LQAUAAYACAAAACEAOP0h/9YAAACUAQAACwAAAAAAAAAAAAAAAAAvAQAAX3JlbHMvLnJlbHNQSwEC&#10;LQAUAAYACAAAACEAV+E5IY4CAAA8BQAADgAAAAAAAAAAAAAAAAAuAgAAZHJzL2Uyb0RvYy54bWxQ&#10;SwECLQAUAAYACAAAACEAMHkFQ+IAAAALAQAADwAAAAAAAAAAAAAAAADoBAAAZHJzL2Rvd25yZXYu&#10;eG1sUEsFBgAAAAAEAAQA8wAAAPcFAAAAAA==&#10;" adj="1845"/>
            </w:pict>
          </mc:Fallback>
        </mc:AlternateContent>
      </w:r>
      <w:r w:rsidR="00725CC7">
        <w:rPr>
          <w:noProof/>
          <w:lang w:eastAsia="en-AU"/>
        </w:rPr>
        <mc:AlternateContent>
          <mc:Choice Requires="wps">
            <w:drawing>
              <wp:anchor distT="0" distB="0" distL="114300" distR="114300" simplePos="0" relativeHeight="251822080" behindDoc="0" locked="0" layoutInCell="1" allowOverlap="1">
                <wp:simplePos x="0" y="0"/>
                <wp:positionH relativeFrom="column">
                  <wp:posOffset>-2299335</wp:posOffset>
                </wp:positionH>
                <wp:positionV relativeFrom="paragraph">
                  <wp:posOffset>-240030</wp:posOffset>
                </wp:positionV>
                <wp:extent cx="180975" cy="879475"/>
                <wp:effectExtent l="0" t="6350" r="22225" b="22225"/>
                <wp:wrapNone/>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0975" cy="879475"/>
                        </a:xfrm>
                        <a:prstGeom prst="leftBrace">
                          <a:avLst>
                            <a:gd name="adj1" fmla="val 64479"/>
                            <a:gd name="adj2" fmla="val 47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7" style="position:absolute;margin-left:-181.05pt;margin-top:-18.9pt;width:14.25pt;height:69.2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ZLkgIAAD0FAAAOAAAAZHJzL2Uyb0RvYy54bWysVNuO0zAQfUfiHyy/d5OU9JJo09XStAhp&#10;gZUWPsC1ncbg2MF2my6If2fspCWFF4TIQ+LJjM7MmTnj27tTI9GRGyu0KnByE2PEFdVMqH2BP33c&#10;TpYYWUcUI1IrXuBnbvHd6uWL267N+VTXWjJuEIAom3dtgWvn2jyKLK15Q+yNbrkCZ6VNQxyYZh8x&#10;QzpAb2Q0jeN51GnDWqMptxb+lr0TrwJ+VXHqPlSV5Q7JAkNtLrxNeO/8O1rdknxvSFsLOpRB/qGK&#10;hggFSS9QJXEEHYz4A6oR1GirK3dDdRPpqhKUBw7AJol/Y/NUk5YHLtAc217aZP8fLH1/fDRIsALP&#10;Zhgp0sCM7g9Oh9RoOvMN6lqbQ9xT+2g8Rds+aPrFgiO68njDQgzade80AxwCOKEpp8o0yGhofjKH&#10;ocETfgN7dAqjeL6Mgp8covAzWcbZAiqi4FoushTOPiHJPZavojXWveG6Qf5QYMkr99oQ6ttFcnJ8&#10;sC6Mgw2cCPucYFQ1EqZ7JBLN03SRDdMfxUzHMekiXqRD2gERCjgn9vBKb4WUQUNSoa7A2Qxa5j1W&#10;S8G8Mxhmv1tLgyAxEO0b0LO5CjP6oFgAqzlhm+HsiJD9GZJL5fGgSQM/364gs+9ZnG2Wm2U6Safz&#10;zSSNy3Jyv12nk/k2WczKV+V6XSY/fGlJmteCMa58dWfJJ+nfSWpYvl6sF9FfsbBjstvwDD0chUXX&#10;ZYTJApfzN7AL6vKC6hW40+wZxBVkBJsMdw6MvdbmG0Yd7G+B7dcDMRwj+VbBgmRJmvqFD0Y6W0zB&#10;MGPPbuwhigJUgR1G/XHt+kvi0Bqxr71yw1iV9stRCefH5wXfVzUYsKOBwXCf+EtgbIeoX7fe6icA&#10;AAD//wMAUEsDBBQABgAIAAAAIQAxQLm+4AAAAAsBAAAPAAAAZHJzL2Rvd25yZXYueG1sTI9BT4NA&#10;EIXvJv6HzZh4owtYSoMsTWM0MfGirQePCzsFIjtL2C3Ff+94ssfJ+/LeN+VusYOYcfK9IwXJKgaB&#10;1DjTU6vg8/gSbUH4oMnowREq+EEPu+r2ptSFcRf6wPkQWsEl5AutoAthLKT0TYdW+5UbkTg7ucnq&#10;wOfUSjPpC5fbQaZxvJFW98QLnR7xqcPm+3C2Ck5mfqvfM/2aPVNN88PRTdn+S6n7u2X/CCLgEv5h&#10;+NNndajYqXZnMl4MCqJ1kifMcpKnIJiI0ny7AVErWGc5yKqU1z9UvwAAAP//AwBQSwECLQAUAAYA&#10;CAAAACEAtoM4kv4AAADhAQAAEwAAAAAAAAAAAAAAAAAAAAAAW0NvbnRlbnRfVHlwZXNdLnhtbFBL&#10;AQItABQABgAIAAAAIQA4/SH/1gAAAJQBAAALAAAAAAAAAAAAAAAAAC8BAABfcmVscy8ucmVsc1BL&#10;AQItABQABgAIAAAAIQDkZIZLkgIAAD0FAAAOAAAAAAAAAAAAAAAAAC4CAABkcnMvZTJvRG9jLnht&#10;bFBLAQItABQABgAIAAAAIQAxQLm+4AAAAAsBAAAPAAAAAAAAAAAAAAAAAOwEAABkcnMvZG93bnJl&#10;di54bWxQSwUGAAAAAAQABADzAAAA+QUAAAAA&#10;" adj="2866,10168"/>
            </w:pict>
          </mc:Fallback>
        </mc:AlternateContent>
      </w:r>
      <w:r w:rsidR="00725CC7">
        <w:rPr>
          <w:noProof/>
          <w:lang w:eastAsia="en-AU"/>
        </w:rPr>
        <mc:AlternateContent>
          <mc:Choice Requires="wps">
            <w:drawing>
              <wp:anchor distT="0" distB="0" distL="114300" distR="114300" simplePos="0" relativeHeight="251819008" behindDoc="0" locked="0" layoutInCell="1" allowOverlap="1">
                <wp:simplePos x="0" y="0"/>
                <wp:positionH relativeFrom="column">
                  <wp:posOffset>-3586480</wp:posOffset>
                </wp:positionH>
                <wp:positionV relativeFrom="paragraph">
                  <wp:posOffset>-66675</wp:posOffset>
                </wp:positionV>
                <wp:extent cx="223520" cy="502920"/>
                <wp:effectExtent l="0" t="6350" r="17780" b="17780"/>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3520" cy="502920"/>
                        </a:xfrm>
                        <a:prstGeom prst="lef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7" style="position:absolute;margin-left:-282.4pt;margin-top:-5.25pt;width:17.6pt;height:39.6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7dRjgIAAD0FAAAOAAAAZHJzL2Uyb0RvYy54bWysVNuO0zAQfUfiHyy/d3PZpNtGm66WpkVI&#10;C6y08AGu7TQGxw6223RB/DtjJy0t+4IQeXBsz+jMnJkzvr07tBLtubFCqxInVzFGXFHNhNqW+POn&#10;9WSGkXVEMSK14iV+5hbfLV6/uu27gqe60ZJxgwBE2aLvStw41xVRZGnDW2KvdMcVGGttWuLgaLYR&#10;M6QH9FZGaRxPo14b1hlNubVwWw1GvAj4dc2p+1jXljskSwy5ubCasG78Gi1uSbE1pGsEHdMg/5BF&#10;S4SCoCeoijiCdka8gGoFNdrq2l1R3Ua6rgXlgQOwSeI/2Dw1pOOBCxTHdqcy2f8HSz/sHw0SrMTT&#10;BCNFWujR/c7pEBqlqS9Q39kC/J66R+Mp2u5B068WDNGFxR8s+KBN/14zwCGAE4pyqE2LjIbiJ1No&#10;GnzhGtijQ2jF86kV/OAQhcs0vc5TaBgFUx6nc9j7gKTwWD6Lzlj3lusW+U2JJa/dG0OoLxcpyP7B&#10;utAONnIi7Avwq1sJ3d0TiZLZTX7s/plPeu6Th0yHsCMiJHAM7OGVXgspwYMUUqG+xPM8zUMGVkvB&#10;vNHbrNlultIgCAxEwzeyuXAzeqdYAGs4Yatx74iQwx6CS+XxoEgjP1+uILMf83i+mq1m2SRLp6tJ&#10;FlfV5H69zCbTdXKTV9fVclklP31qSVY0gjGufHZHySfZ30lqHL5BrCfRX7C4ILsO30uy0WUaobPA&#10;5fgP7IK6vKAGBW40ewZxBRmBMODNgbY32nzHqIf5LbH9tiOGYyTfKRiQeZJlfuDDIctvvJjMuWVz&#10;biGKAlSJHUbDdumGR2LXGbFtvHJDW5X2w1EL51XhBT9kNR5gRgOD8T3xj8D5OXj9fvUWvwAAAP//&#10;AwBQSwMEFAAGAAgAAAAhAEs1227eAAAACwEAAA8AAABkcnMvZG93bnJldi54bWxMj0FPhDAUhO8m&#10;/ofmmXhjH6tSNixlY0yMV2GN8dhtn8BKW0LLgv/eetLjZCYz35SH1QzsQpPvnRWw3aTAyCqne9sK&#10;eDs+JztgPkir5eAsCfgmD4fq+qqUhXaLrenShJbFEusLKaALYSwQverISL9xI9nofbrJyBDl1KKe&#10;5BLLzYB3acrRyN7GhU6O9NSR+mpmI4DPqsbmfVH1eXhBdDl93L/OQtzerI97YIHW8BeGX/yIDlVk&#10;OrnZas8GAUm245E9RGebAYuJJEtzDuwk4IHngFWJ/z9UPwAAAP//AwBQSwECLQAUAAYACAAAACEA&#10;toM4kv4AAADhAQAAEwAAAAAAAAAAAAAAAAAAAAAAW0NvbnRlbnRfVHlwZXNdLnhtbFBLAQItABQA&#10;BgAIAAAAIQA4/SH/1gAAAJQBAAALAAAAAAAAAAAAAAAAAC8BAABfcmVscy8ucmVsc1BLAQItABQA&#10;BgAIAAAAIQD627dRjgIAAD0FAAAOAAAAAAAAAAAAAAAAAC4CAABkcnMvZTJvRG9jLnhtbFBLAQIt&#10;ABQABgAIAAAAIQBLNdtu3gAAAAsBAAAPAAAAAAAAAAAAAAAAAOgEAABkcnMvZG93bnJldi54bWxQ&#10;SwUGAAAAAAQABADzAAAA8wUAAAAA&#10;"/>
            </w:pict>
          </mc:Fallback>
        </mc:AlternateContent>
      </w:r>
      <w:r w:rsidR="00725CC7">
        <w:rPr>
          <w:noProof/>
          <w:lang w:eastAsia="en-AU"/>
        </w:rPr>
        <mc:AlternateContent>
          <mc:Choice Requires="wps">
            <w:drawing>
              <wp:anchor distT="0" distB="0" distL="114300" distR="114300" simplePos="0" relativeHeight="251820032" behindDoc="0" locked="0" layoutInCell="1" allowOverlap="1">
                <wp:simplePos x="0" y="0"/>
                <wp:positionH relativeFrom="column">
                  <wp:posOffset>-3082925</wp:posOffset>
                </wp:positionH>
                <wp:positionV relativeFrom="paragraph">
                  <wp:posOffset>45720</wp:posOffset>
                </wp:positionV>
                <wp:extent cx="180975" cy="307975"/>
                <wp:effectExtent l="0" t="6350" r="22225" b="22225"/>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0975" cy="307975"/>
                        </a:xfrm>
                        <a:prstGeom prst="leftBrace">
                          <a:avLst>
                            <a:gd name="adj1" fmla="val 141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7" style="position:absolute;margin-left:-242.75pt;margin-top:3.6pt;width:14.25pt;height:24.2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vjwIAAD0FAAAOAAAAZHJzL2Uyb0RvYy54bWysVNuO0zAQfUfiHyy/d3PZpJdo09XStAhp&#10;gZUWPsC1ncbg2MF2my6If2fsZEvLviBEHhzbMzozZ+aMb26PrUQHbqzQqsTJVYwRV1QzoXYl/vxp&#10;M5ljZB1RjEiteImfuMW3y9evbvqu4KlutGTcIABRtui7EjfOdUUUWdrwltgr3XEFxlqbljg4ml3E&#10;DOkBvZVRGsfTqNeGdUZTbi3cVoMRLwN+XXPqPta15Q7JEkNuLqwmrFu/RssbUuwM6RpBxzTIP2TR&#10;EqEg6AmqIo6gvREvoFpBjba6dldUt5Gua0F54ABskvgPNo8N6XjgAsWx3alM9v/B0g+HB4MEK3G+&#10;wEiRFnp0t3c6hEZp5gvUd7YAv8fuwXiKtrvX9KsFQ3Rh8QcLPmjbv9cMcAjghKIca9Mio6H4yRSa&#10;Bl+4BvboGFrxdGoFPzpE4TKZx4tZjhEF03U883sfkBQey2fRGevect0ivymx5LV7Ywj15SIFOdxb&#10;F9rBRk6EfUkwqlsJ3T0QiZIsmSdj98980nOfPGQ6hB0RIYHnwB5e6Y2QEjxIIRXqS7zI0zxkYLUU&#10;zBu9zZrddiUNgsBANHwjmws3o/eKBbCGE7Ye944IOewhuFQeD4o08vPlCjL7sYgX6/l6nk2ydLqe&#10;ZHFVTe42q2wy3SSzvLquVqsq+elTS7KiEYxx5bN7lnyS/Z2kxuEbxHoS/QWLC7Kb8L0kG12mEToL&#10;XJ7/gV1QlxfUoMCtZk8griAjmGR4c6DtjTbfMephfktsv+2J4RjJdwoGZJFkmR/4cMjyWQoHc27Z&#10;nluIogBVYofRsF254ZHYd0bsGq/c0Fal/XDUwnlVeMEPWY0HmNHAYHxP/CNwfg5ev1+95S8AAAD/&#10;/wMAUEsDBBQABgAIAAAAIQCaVO4x3gAAAAsBAAAPAAAAZHJzL2Rvd25yZXYueG1sTI9NT4QwFEX3&#10;Jv6H5pm4Y4ojDCNSJsbEuBU0Zpad9gloPwgtA/57nytdvtyT+86tDqs17IxTGLwTcLNJgaFTXg+u&#10;E/D2+pTsgYUonZbGOxTwjQEO9eVFJUvtF9fguY0doxIXSimgj3EsOQ+qRyvDxo/oKPvwk5WRzqnj&#10;epILlVvDt2m641YOjj70csTHHtVXO1sBu1k1vH1fVPNpnjn3BR5vX2Yhrq/Wh3tgEdf4B8OvPqlD&#10;TU4nPzsdmBGQZHd5TiwlxRYYEUmWFTTvJCDLC+B1xf9vqH8AAAD//wMAUEsBAi0AFAAGAAgAAAAh&#10;ALaDOJL+AAAA4QEAABMAAAAAAAAAAAAAAAAAAAAAAFtDb250ZW50X1R5cGVzXS54bWxQSwECLQAU&#10;AAYACAAAACEAOP0h/9YAAACUAQAACwAAAAAAAAAAAAAAAAAvAQAAX3JlbHMvLnJlbHNQSwECLQAU&#10;AAYACAAAACEA25vwr48CAAA9BQAADgAAAAAAAAAAAAAAAAAuAgAAZHJzL2Uyb0RvYy54bWxQSwEC&#10;LQAUAAYACAAAACEAmlTuMd4AAAALAQAADwAAAAAAAAAAAAAAAADpBAAAZHJzL2Rvd25yZXYueG1s&#10;UEsFBgAAAAAEAAQA8wAAAPQFAAAAAA==&#10;"/>
            </w:pict>
          </mc:Fallback>
        </mc:AlternateContent>
      </w:r>
      <w:r w:rsidR="00725CC7">
        <w:rPr>
          <w:noProof/>
          <w:lang w:eastAsia="en-AU"/>
        </w:rPr>
        <mc:AlternateContent>
          <mc:Choice Requires="wps">
            <w:drawing>
              <wp:anchor distT="0" distB="0" distL="114300" distR="114300" simplePos="0" relativeHeight="251826176" behindDoc="0" locked="0" layoutInCell="1" allowOverlap="1">
                <wp:simplePos x="0" y="0"/>
                <wp:positionH relativeFrom="column">
                  <wp:posOffset>-3656330</wp:posOffset>
                </wp:positionH>
                <wp:positionV relativeFrom="paragraph">
                  <wp:posOffset>222885</wp:posOffset>
                </wp:positionV>
                <wp:extent cx="238125" cy="483870"/>
                <wp:effectExtent l="0" t="0" r="9525" b="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Q</w:t>
                            </w:r>
                            <w:r>
                              <w:rPr>
                                <w:szCs w:val="20"/>
                                <w:vertAlign w:val="subscript"/>
                                <w:lang w:val="en-US"/>
                              </w:rPr>
                              <w:t>A</w:t>
                            </w:r>
                          </w:p>
                        </w:txbxContent>
                      </wps:txbx>
                      <wps:bodyPr rot="0" vert="horz" wrap="square" lIns="1800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287.9pt;margin-top:17.55pt;width:18.75pt;height:38.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J8uQIAAMIFAAAOAAAAZHJzL2Uyb0RvYy54bWysVFtvmzAUfp+0/2D5nXIpSQCVTG0I06Tu&#10;IrX7AQ42wRrYzHYC3bT/vmOTW9uXaRsPyPaxv/N953bzbuxatGdKcylyHF4FGDFRScrFNsdfH0sv&#10;wUgbIihppWA5fmIav1u+fXMz9BmLZCNbyhQCEKGzoc9xY0yf+b6uGtYRfSV7JsBYS9URA1u19aki&#10;A6B3rR8FwdwfpKK9khXTGk6LyYiXDr+uWWU+17VmBrU5Bm7G/ZX7b+zfX96QbKtI3/DqQIP8BYuO&#10;cAFOT1AFMQTtFH8F1fFKSS1rc1XJzpd1zSvmNICaMHih5qEhPXNaIDi6P4VJ/z/Y6tP+i0Kc5ngO&#10;4RGkgxw9stGgOzmiMLHxGXqdwbWHHi6aEc4hz06r7u9l9U0jIVcNEVt2q5QcGkYo8AvtS//i6YSj&#10;Lchm+Cgp+CE7Ix3QWKvOBg/CgQAdiDydcmO5VHAYXSdhNMOoAlOcXCcLlzufZMfHvdLmPZMdsosc&#10;K0i9Ayf7e20sGZIdr1hfQpa8bV36W/HsAC5OJ+AanlqbJeGy+TMN0nWyTmIvjuZrLw6KwrstV7E3&#10;L8PFrLguVqsi/GX9hnHWcEqZsG6OlRXGf5a5Q41PNXGqLS1bTi2cpaTVdrNqFdoTqOzSfS7kYDlf&#10;85/TcEEALS8khVEc3EWpV86ThReX8cxLF0HiBWF6l86DOI2L8rmkey7Yv0tCQ47TGeTUyTmTfqEt&#10;cN9rbSTruIHZ0fIux8npEslsBa4Fdak1hLfT+iIUlv45FJDuY6JdvdoSnYrVjJvRtUYYHftgI+kT&#10;VLCSUGFQpjD4YNFI9QOjAYZIjvX3HVEMo/aDsF1gecHUcZt4tohgoy4tm0sLERVA5dhgNC1XZppU&#10;u17xbQOejn13C51TclfVtsUmVod+g0HhxB2Gmp1El3t36zx6l78BAAD//wMAUEsDBBQABgAIAAAA&#10;IQB8sttc4gAAAAwBAAAPAAAAZHJzL2Rvd25yZXYueG1sTI9BTsMwEEX3SNzBGiR2qR0iQxXiVLRS&#10;BSyQ2sIB3NgkUe1xiN025fQMK1iO/tP/b6rF5B072TH2ARXkMwHMYhNMj62Cj/d1NgcWk0ajXUCr&#10;4GIjLOrrq0qXJpxxa0+71DIqwVhqBV1KQ8l5bDrrdZyFwSJln2H0OtE5ttyM+kzl3vE7Ie651z3S&#10;QqcHu+psc9gdvYLeNe71S7ytNuLSPsv1cvt9eFkqdXszPT0CS3ZKfzD86pM61OS0D0c0kTkFmXyQ&#10;5J4UFDIHRkQmi3kBbE9snhfA64r/f6L+AQAA//8DAFBLAQItABQABgAIAAAAIQC2gziS/gAAAOEB&#10;AAATAAAAAAAAAAAAAAAAAAAAAABbQ29udGVudF9UeXBlc10ueG1sUEsBAi0AFAAGAAgAAAAhADj9&#10;If/WAAAAlAEAAAsAAAAAAAAAAAAAAAAALwEAAF9yZWxzLy5yZWxzUEsBAi0AFAAGAAgAAAAhAMjX&#10;kny5AgAAwgUAAA4AAAAAAAAAAAAAAAAALgIAAGRycy9lMm9Eb2MueG1sUEsBAi0AFAAGAAgAAAAh&#10;AHyy21ziAAAADAEAAA8AAAAAAAAAAAAAAAAAEwUAAGRycy9kb3ducmV2LnhtbFBLBQYAAAAABAAE&#10;APMAAAAiBgAAAAA=&#10;" filled="f" stroked="f">
                <v:textbox style="mso-fit-shape-to-text:t" inset=".5mm,,.5mm">
                  <w:txbxContent>
                    <w:p w:rsidR="00FD507B" w:rsidRDefault="00FD507B" w:rsidP="00A97CD0">
                      <w:pPr>
                        <w:rPr>
                          <w:szCs w:val="20"/>
                        </w:rPr>
                      </w:pPr>
                      <w:r>
                        <w:rPr>
                          <w:szCs w:val="20"/>
                          <w:lang w:val="en-US"/>
                        </w:rPr>
                        <w:t>Q</w:t>
                      </w:r>
                      <w:r>
                        <w:rPr>
                          <w:szCs w:val="20"/>
                          <w:vertAlign w:val="subscript"/>
                          <w:lang w:val="en-US"/>
                        </w:rPr>
                        <w:t>A</w:t>
                      </w:r>
                    </w:p>
                  </w:txbxContent>
                </v:textbox>
              </v:shape>
            </w:pict>
          </mc:Fallback>
        </mc:AlternateContent>
      </w:r>
      <w:r w:rsidR="00725CC7">
        <w:rPr>
          <w:noProof/>
          <w:lang w:eastAsia="en-AU"/>
        </w:rPr>
        <mc:AlternateContent>
          <mc:Choice Requires="wps">
            <w:drawing>
              <wp:anchor distT="0" distB="0" distL="114300" distR="114300" simplePos="0" relativeHeight="251827200" behindDoc="0" locked="0" layoutInCell="1" allowOverlap="1">
                <wp:simplePos x="0" y="0"/>
                <wp:positionH relativeFrom="column">
                  <wp:posOffset>-3338830</wp:posOffset>
                </wp:positionH>
                <wp:positionV relativeFrom="paragraph">
                  <wp:posOffset>222885</wp:posOffset>
                </wp:positionV>
                <wp:extent cx="500380" cy="235585"/>
                <wp:effectExtent l="0" t="0" r="0" b="0"/>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ACTION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262.9pt;margin-top:17.55pt;width:39.4pt;height:18.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jOtwIAAMI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gqxUkHNXqko0Z3YkT+zORn6FUKag89KOoR3qHONlbV34vyq0JcrBrCt/RWSjE0lFTgn29+umdf&#10;JxxlQDbDB1GBHbLTwgKNtexM8iAdCNChTk+n2hhfSniMPG8Wg6QEUTCLojiyFkh6/NxLpd9R0SFz&#10;yLCE0ltwsr9X2jhD0qOKscVFwdrWlr/lFw+gOL2AafhqZMYJW80fiZes43UcOmEwXzuhl+fObbEK&#10;nXnhL6J8lq9Wuf/T2PXDtGFVRbkxc2SWH/5Z5Q4cnzhx4pYSLasMnHFJye1m1Uq0J8Dswq5DQs7U&#10;3Es3bBIglhch+UHo3QWJU8zjhRMWYeQkCy92PD+5S+ZemIR5cRnSPeP030NCQ4aTKIgmLv02Ns+u&#10;17GRtGMaZkfLugzHJyWSGgaueWVLqwlrp/NZKoz7z6mAch8LbflqKDqRVY+b0bbGcx9sRPUEDJYC&#10;GAZkhMEHh0bI7xgNMEQyrL7tiKQYte+56QLjF0wdewmjRQAXeS7ZnEsILwEqwxqj6bjS06Ta9ZJt&#10;G7A09R0Xt9A5NbOsNi02eXXoNxgUNrjDUDOT6PxutZ5H7/IXAAAA//8DAFBLAwQUAAYACAAAACEA&#10;ny4K9uIAAAALAQAADwAAAGRycy9kb3ducmV2LnhtbEyPT0vEMBTE74LfITzBWzfdunVLbbqI4EVQ&#10;2Soue8s2z6bYvNQm/bPf3njS4zDDzG+K3WI6NuHgWksC1qsYGFJtVUuNgPe3xygD5rwkJTtLKOCM&#10;Dnbl5UUhc2Vn2uNU+YaFEnK5FKC973POXa3RSLeyPVLwPu1gpA9yaLga5BzKTceTOL7lRrYUFrTs&#10;8UFj/VWNRsDxe8oO2Xl8clU/7/WLek0/nrkQ11fL/R0wj4v/C8MvfkCHMjCd7EjKsU5AlCZpYPcC&#10;btI1sJCINpttuHcSsE0S4GXB/38ofwAAAP//AwBQSwECLQAUAAYACAAAACEAtoM4kv4AAADhAQAA&#10;EwAAAAAAAAAAAAAAAAAAAAAAW0NvbnRlbnRfVHlwZXNdLnhtbFBLAQItABQABgAIAAAAIQA4/SH/&#10;1gAAAJQBAAALAAAAAAAAAAAAAAAAAC8BAABfcmVscy8ucmVsc1BLAQItABQABgAIAAAAIQCcafjO&#10;twIAAMIFAAAOAAAAAAAAAAAAAAAAAC4CAABkcnMvZTJvRG9jLnhtbFBLAQItABQABgAIAAAAIQCf&#10;Lgr24gAAAAsBAAAPAAAAAAAAAAAAAAAAABEFAABkcnMvZG93bnJldi54bWxQSwUGAAAAAAQABADz&#10;AAAAIAYAAAAA&#10;" filled="f" stroked="f">
                <v:textbox inset=".5mm,,.5mm">
                  <w:txbxContent>
                    <w:p w:rsidR="00FD507B" w:rsidRDefault="00FD507B" w:rsidP="00A97CD0">
                      <w:pPr>
                        <w:rPr>
                          <w:szCs w:val="20"/>
                        </w:rPr>
                      </w:pPr>
                      <w:r>
                        <w:rPr>
                          <w:szCs w:val="20"/>
                          <w:lang w:val="en-US"/>
                        </w:rPr>
                        <w:t>ACTION</w:t>
                      </w:r>
                    </w:p>
                  </w:txbxContent>
                </v:textbox>
              </v:shape>
            </w:pict>
          </mc:Fallback>
        </mc:AlternateContent>
      </w:r>
      <w:r w:rsidR="00725CC7">
        <w:rPr>
          <w:noProof/>
          <w:lang w:eastAsia="en-AU"/>
        </w:rPr>
        <mc:AlternateContent>
          <mc:Choice Requires="wps">
            <w:drawing>
              <wp:anchor distT="0" distB="0" distL="114300" distR="114300" simplePos="0" relativeHeight="251824128" behindDoc="0" locked="0" layoutInCell="1" allowOverlap="1">
                <wp:simplePos x="0" y="0"/>
                <wp:positionH relativeFrom="column">
                  <wp:posOffset>-2513330</wp:posOffset>
                </wp:positionH>
                <wp:positionV relativeFrom="paragraph">
                  <wp:posOffset>222885</wp:posOffset>
                </wp:positionV>
                <wp:extent cx="255270" cy="483870"/>
                <wp:effectExtent l="0" t="0" r="0" b="0"/>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Q</w:t>
                            </w:r>
                            <w:r>
                              <w:rPr>
                                <w:szCs w:val="20"/>
                                <w:vertAlign w:val="subscript"/>
                                <w:lang w:val="en-US"/>
                              </w:rPr>
                              <w:t>T</w:t>
                            </w:r>
                          </w:p>
                        </w:txbxContent>
                      </wps:txbx>
                      <wps:bodyPr rot="0" vert="horz" wrap="square" lIns="1800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197.9pt;margin-top:17.55pt;width:20.1pt;height:38.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8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Lq09RkHnYHb/QCOZg/n0GfHVQ93svqqkZDLlooNu1FKji2jNeQX2pv+&#10;2dUJR1uQ9fhB1hCHbo10QPtG9bZ4UA4E6NCnx1NvbC4VHEZxHM3BUoGJJJcJrG0Emh0vD0qbd0z2&#10;yC5yrKD1Dpzu7rSZXI8uNpaQJe86OKdZJ54dAOZ0AqHhqrXZJFw3f6RBukpWCfFINFt5JCgK76Zc&#10;Em9WhvO4uCyWyyL8aeOGJGt5XTNhwxyVFZI/69xB45MmTtrSsuO1hbMpabVZLzuFdhSUXbrvUJAz&#10;N/95Gq5ewOUFpTAiwW2UeuUsmXukJLGXzoPEC8L0Np0FJCVF+ZzSHRfs3ymhMcdpHMWTln7LLXDf&#10;a24067mB2dHxPsfJyYlmVoErUbvWGsq7aX1WCpv+Uymg3cdGO71aiU5iNfv13j2NkNjwVsxrWT+C&#10;gpUEhYEYYfDBopXqO0YjDJEc629bqhhG3XthX4HNC6aO25B4HsFGnVvW5xYqKoDKscFoWi7NNKm2&#10;g+KbFiId390NvJySO1U/ZXV4bzAoHLnDULOT6HzvvJ5G7+IXAAAA//8DAFBLAwQUAAYACAAAACEA&#10;FRl2QOIAAAAMAQAADwAAAGRycy9kb3ducmV2LnhtbEyPQU7DMBBF90jcwRokdqkdIlcQ4lS0UgUs&#10;kNrCAdx4SKLa4xC7bcrpMStYjv7T/2+qxeQsO+EYek8K8pkAhtR401Or4ON9nd0DC1GT0dYTKrhg&#10;gEV9fVXp0vgzbfG0iy1LJRRKraCLcSg5D02HToeZH5BS9ulHp2M6x5abUZ9TubP8Tog5d7qntNDp&#10;AVcdNofd0SnobWNfv8TbaiMu7bNcL7ffh5elUrc309MjsIhT/IPhVz+pQ52c9v5IJjCrICseZHKP&#10;CgqZA0tEVkg5B7ZPbJ4XwOuK/3+i/gEAAP//AwBQSwECLQAUAAYACAAAACEAtoM4kv4AAADhAQAA&#10;EwAAAAAAAAAAAAAAAAAAAAAAW0NvbnRlbnRfVHlwZXNdLnhtbFBLAQItABQABgAIAAAAIQA4/SH/&#10;1gAAAJQBAAALAAAAAAAAAAAAAAAAAC8BAABfcmVscy8ucmVsc1BLAQItABQABgAIAAAAIQCPCzH8&#10;twIAAMIFAAAOAAAAAAAAAAAAAAAAAC4CAABkcnMvZTJvRG9jLnhtbFBLAQItABQABgAIAAAAIQAV&#10;GXZA4gAAAAwBAAAPAAAAAAAAAAAAAAAAABEFAABkcnMvZG93bnJldi54bWxQSwUGAAAAAAQABADz&#10;AAAAIAYAAAAA&#10;" filled="f" stroked="f">
                <v:textbox style="mso-fit-shape-to-text:t" inset=".5mm,,.5mm">
                  <w:txbxContent>
                    <w:p w:rsidR="00FD507B" w:rsidRDefault="00FD507B" w:rsidP="00A97CD0">
                      <w:pPr>
                        <w:rPr>
                          <w:szCs w:val="20"/>
                        </w:rPr>
                      </w:pPr>
                      <w:r>
                        <w:rPr>
                          <w:szCs w:val="20"/>
                          <w:lang w:val="en-US"/>
                        </w:rPr>
                        <w:t>Q</w:t>
                      </w:r>
                      <w:r>
                        <w:rPr>
                          <w:szCs w:val="20"/>
                          <w:vertAlign w:val="subscript"/>
                          <w:lang w:val="en-US"/>
                        </w:rPr>
                        <w:t>T</w:t>
                      </w:r>
                    </w:p>
                  </w:txbxContent>
                </v:textbox>
              </v:shape>
            </w:pict>
          </mc:Fallback>
        </mc:AlternateContent>
      </w:r>
      <w:r w:rsidR="00725CC7">
        <w:rPr>
          <w:noProof/>
          <w:lang w:eastAsia="en-AU"/>
        </w:rPr>
        <mc:AlternateContent>
          <mc:Choice Requires="wps">
            <w:drawing>
              <wp:anchor distT="0" distB="0" distL="114300" distR="114300" simplePos="0" relativeHeight="251830272" behindDoc="0" locked="0" layoutInCell="1" allowOverlap="1">
                <wp:simplePos x="0" y="0"/>
                <wp:positionH relativeFrom="column">
                  <wp:posOffset>-1687830</wp:posOffset>
                </wp:positionH>
                <wp:positionV relativeFrom="paragraph">
                  <wp:posOffset>222885</wp:posOffset>
                </wp:positionV>
                <wp:extent cx="572770" cy="240665"/>
                <wp:effectExtent l="0" t="0" r="0" b="698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szCs w:val="20"/>
                              </w:rPr>
                            </w:pPr>
                            <w:r>
                              <w:rPr>
                                <w:szCs w:val="20"/>
                                <w:lang w:val="en-US"/>
                              </w:rPr>
                              <w:t>TARGET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margin-left:-132.9pt;margin-top:17.55pt;width:45.1pt;height:1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xtw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wUjQHnp0z/YG3cg9ComtzzjoDNzuBnA0eziHPjuueriV1TeNhFy2VGzYtVJybBmtIb/Q3vTP&#10;rk442oKsx4+yhjh0a6QD2jeqt8WDciBAhz49nHpjc6ngMJ5FsxlYKjBFJEiS2EWg2fHyoLR5z2SP&#10;7CLHClrvwOnuVhubDM2OLjaWkCXvOtf+Tjw7AMfpBELDVWuzSbhuPqZBupqv5sQjUbLySFAU3nW5&#10;JF5ShrO4eFcsl0X408YNSdbyumbChjkqKyR/1rmDxidNnLSlZcdrC2dT0mqzXnYK7Sgou3TfoSBn&#10;bv7zNFwRgMsLSiHU8yZKvTKZzzxSkthLZ8HcC8L0Jk0CkpKifE7plgv275TQmOM0juJJS7/lFrjv&#10;NTea9dzA7Oh4n+P5yYlmVoErUbvWGsq7aX1WCpv+Uymg3cdGO71aiU5iNfv13j2N0GnNinkt6wdQ&#10;sJKgMBAjDD5YtFL9wGiEIZJj/X1LFcOo+yDsK7B5wdRxGwISho06t6zPLVRUAJVjg9G0XJppUm0H&#10;xTctRJrenZDX8HIa7lT9lNXhvcGgcOQOQ81OovO983oavYtfAAAA//8DAFBLAwQUAAYACAAAACEA&#10;UB2A/uEAAAALAQAADwAAAGRycy9kb3ducmV2LnhtbEyPT0vEMBTE74LfITzBWzftLu2W2nQRwYug&#10;slUUb9nm2RSbl9qkf/bbG096HGaY+U15WE3PZhxdZ0lAsomBITVWddQKeH25j3JgzktSsreEAs7o&#10;4FBdXpSyUHahI861b1koIVdIAdr7oeDcNRqNdBs7IAXv045G+iDHlqtRLqHc9Hwbxxk3sqOwoOWA&#10;dxqbr3oyAj6+5/w9P08Prh6Wo35Sz+nbIxfi+mq9vQHmcfV/YfjFD+hQBaaTnUg51guItlka2L2A&#10;XZoAC4ko2acZsJOA/S4GXpX8/4fqBwAA//8DAFBLAQItABQABgAIAAAAIQC2gziS/gAAAOEBAAAT&#10;AAAAAAAAAAAAAAAAAAAAAABbQ29udGVudF9UeXBlc10ueG1sUEsBAi0AFAAGAAgAAAAhADj9If/W&#10;AAAAlAEAAAsAAAAAAAAAAAAAAAAALwEAAF9yZWxzLy5yZWxzUEsBAi0AFAAGAAgAAAAhAODT9HG3&#10;AgAAwgUAAA4AAAAAAAAAAAAAAAAALgIAAGRycy9lMm9Eb2MueG1sUEsBAi0AFAAGAAgAAAAhAFAd&#10;gP7hAAAACwEAAA8AAAAAAAAAAAAAAAAAEQUAAGRycy9kb3ducmV2LnhtbFBLBQYAAAAABAAEAPMA&#10;AAAfBgAAAAA=&#10;" filled="f" stroked="f">
                <v:textbox inset=".5mm,,.5mm">
                  <w:txbxContent>
                    <w:p w:rsidR="00FD507B" w:rsidRDefault="00FD507B" w:rsidP="00A97CD0">
                      <w:pPr>
                        <w:rPr>
                          <w:szCs w:val="20"/>
                        </w:rPr>
                      </w:pPr>
                      <w:r>
                        <w:rPr>
                          <w:szCs w:val="20"/>
                          <w:lang w:val="en-US"/>
                        </w:rPr>
                        <w:t>TARGET</w:t>
                      </w:r>
                    </w:p>
                  </w:txbxContent>
                </v:textbox>
              </v:shape>
            </w:pict>
          </mc:Fallback>
        </mc:AlternateContent>
      </w:r>
    </w:p>
    <w:p w:rsidR="00A97CD0" w:rsidRDefault="00A97CD0" w:rsidP="00A97CD0">
      <w:pPr>
        <w:pStyle w:val="Heading2"/>
      </w:pPr>
      <w:bookmarkStart w:id="7" w:name="_Toc331689827"/>
      <w:r>
        <w:t xml:space="preserve">3. Types of </w:t>
      </w:r>
      <w:proofErr w:type="spellStart"/>
      <w:r>
        <w:t>listable</w:t>
      </w:r>
      <w:proofErr w:type="spellEnd"/>
      <w:r>
        <w:t xml:space="preserve"> indications</w:t>
      </w:r>
      <w:bookmarkEnd w:id="7"/>
    </w:p>
    <w:p w:rsidR="00A97CD0" w:rsidRDefault="00A97CD0" w:rsidP="00A97CD0">
      <w:pPr>
        <w:rPr>
          <w:lang w:eastAsia="en-AU"/>
        </w:rPr>
      </w:pPr>
      <w:r>
        <w:rPr>
          <w:lang w:val="en-US"/>
        </w:rPr>
        <w:t xml:space="preserve">Indications are classified into ‘scientific indications’ or ‘traditional indications’ according to the type of supporting evidence. </w:t>
      </w:r>
      <w:r>
        <w:rPr>
          <w:lang w:eastAsia="en-AU"/>
        </w:rPr>
        <w:t xml:space="preserve">Scientific and traditional indications are fundamentally different; scientific indications are efficacy based, while traditional indications refer to a tradition of use within a particular paradigm.  </w:t>
      </w:r>
    </w:p>
    <w:p w:rsidR="00A97CD0" w:rsidRDefault="00A97CD0" w:rsidP="00A97CD0">
      <w:pPr>
        <w:rPr>
          <w:lang w:eastAsia="en-AU"/>
        </w:rPr>
      </w:pPr>
      <w:r>
        <w:rPr>
          <w:lang w:eastAsia="en-AU"/>
        </w:rPr>
        <w:t xml:space="preserve">Because of the nature of evidence of traditional use, traditional indications </w:t>
      </w:r>
      <w:r>
        <w:rPr>
          <w:b/>
          <w:lang w:eastAsia="en-AU"/>
        </w:rPr>
        <w:t>must not</w:t>
      </w:r>
      <w:r>
        <w:rPr>
          <w:lang w:eastAsia="en-AU"/>
        </w:rPr>
        <w:t xml:space="preserve"> imply efficacy. Indications that are </w:t>
      </w:r>
      <w:r>
        <w:t xml:space="preserve">based on traditional </w:t>
      </w:r>
      <w:proofErr w:type="gramStart"/>
      <w:r>
        <w:t>use,</w:t>
      </w:r>
      <w:proofErr w:type="gramEnd"/>
      <w:r>
        <w:t xml:space="preserve"> </w:t>
      </w:r>
      <w:r>
        <w:rPr>
          <w:b/>
        </w:rPr>
        <w:t>must</w:t>
      </w:r>
      <w:r>
        <w:t xml:space="preserve"> be true, valid, not misleading and consistent with its traditional use. Therefore, e</w:t>
      </w:r>
      <w:r>
        <w:rPr>
          <w:lang w:eastAsia="en-AU"/>
        </w:rPr>
        <w:t>vidence of traditional use can only be used to support indications that refer to the traditional use of a medicine or ingredient for a health benefit in the context of the traditional paradigm.</w:t>
      </w:r>
    </w:p>
    <w:p w:rsidR="00A97CD0" w:rsidRDefault="00A97CD0" w:rsidP="00A97CD0">
      <w:pPr>
        <w:rPr>
          <w:lang w:eastAsia="en-AU"/>
        </w:rPr>
      </w:pPr>
      <w:r>
        <w:rPr>
          <w:lang w:eastAsia="en-AU"/>
        </w:rPr>
        <w:t xml:space="preserve">Terms used in traditional </w:t>
      </w:r>
      <w:proofErr w:type="spellStart"/>
      <w:r>
        <w:rPr>
          <w:lang w:eastAsia="en-AU"/>
        </w:rPr>
        <w:t>listable</w:t>
      </w:r>
      <w:proofErr w:type="spellEnd"/>
      <w:r>
        <w:rPr>
          <w:lang w:eastAsia="en-AU"/>
        </w:rPr>
        <w:t xml:space="preserve"> indications must be comprehensible to consumers and consistent with those referenced in the evidence of traditional use source</w:t>
      </w:r>
      <w:r>
        <w:t xml:space="preserve">. In cases where the traditional terminology may be unclear to consumers, the information should be communicated using appropriate conventional terminology. Traditional </w:t>
      </w:r>
      <w:proofErr w:type="spellStart"/>
      <w:r>
        <w:t>listable</w:t>
      </w:r>
      <w:proofErr w:type="spellEnd"/>
      <w:r>
        <w:t xml:space="preserve"> indications </w:t>
      </w:r>
      <w:r>
        <w:rPr>
          <w:lang w:eastAsia="en-AU"/>
        </w:rPr>
        <w:t xml:space="preserve">must </w:t>
      </w:r>
      <w:r>
        <w:rPr>
          <w:b/>
          <w:lang w:eastAsia="en-AU"/>
        </w:rPr>
        <w:t>not</w:t>
      </w:r>
      <w:r>
        <w:rPr>
          <w:lang w:eastAsia="en-AU"/>
        </w:rPr>
        <w:t>:</w:t>
      </w:r>
    </w:p>
    <w:p w:rsidR="00A97CD0" w:rsidRDefault="00A97CD0" w:rsidP="00A97CD0">
      <w:pPr>
        <w:pStyle w:val="ListBullet"/>
        <w:numPr>
          <w:ilvl w:val="0"/>
          <w:numId w:val="31"/>
        </w:numPr>
        <w:spacing w:before="0" w:after="160"/>
        <w:rPr>
          <w:lang w:eastAsia="en-AU"/>
        </w:rPr>
      </w:pPr>
      <w:r>
        <w:rPr>
          <w:lang w:eastAsia="en-AU"/>
        </w:rPr>
        <w:t>reference specific anatomical, physiological or pharmacological effects that are not envisaged within the paradigm and/or require scientific substantiation such as stimulation or modulation of the immune system or antioxidant functions</w:t>
      </w:r>
    </w:p>
    <w:p w:rsidR="00A97CD0" w:rsidRDefault="00A97CD0" w:rsidP="00A97CD0">
      <w:pPr>
        <w:pStyle w:val="ListBullet"/>
        <w:numPr>
          <w:ilvl w:val="0"/>
          <w:numId w:val="31"/>
        </w:numPr>
        <w:spacing w:before="0" w:after="160"/>
        <w:rPr>
          <w:lang w:eastAsia="en-AU"/>
        </w:rPr>
      </w:pPr>
      <w:r>
        <w:rPr>
          <w:lang w:eastAsia="en-AU"/>
        </w:rPr>
        <w:t xml:space="preserve">reference conditions that cannot be diagnosed within the identified healing paradigm such as the maintenance of normal glucose levels, blood pressure or cholesterol </w:t>
      </w:r>
    </w:p>
    <w:p w:rsidR="00A97CD0" w:rsidRDefault="00A97CD0" w:rsidP="00A97CD0">
      <w:pPr>
        <w:pStyle w:val="ListBullet"/>
        <w:numPr>
          <w:ilvl w:val="0"/>
          <w:numId w:val="31"/>
        </w:numPr>
        <w:spacing w:before="0" w:after="160"/>
        <w:rPr>
          <w:lang w:eastAsia="en-AU"/>
        </w:rPr>
      </w:pPr>
      <w:r>
        <w:rPr>
          <w:lang w:eastAsia="en-AU"/>
        </w:rPr>
        <w:lastRenderedPageBreak/>
        <w:t xml:space="preserve">be interpreted or extrapolated to infer benefits that were not readily recognised within the traditional paradigm such as weight loss, addiction cessation and providing specific vitamins, minerals or essential fatty acids </w:t>
      </w:r>
    </w:p>
    <w:p w:rsidR="00A97CD0" w:rsidRDefault="00A97CD0" w:rsidP="00A97CD0">
      <w:pPr>
        <w:pStyle w:val="ListBullet"/>
        <w:numPr>
          <w:ilvl w:val="0"/>
          <w:numId w:val="31"/>
        </w:numPr>
        <w:spacing w:before="0" w:after="160"/>
        <w:rPr>
          <w:lang w:eastAsia="en-AU"/>
        </w:rPr>
      </w:pPr>
      <w:r>
        <w:rPr>
          <w:lang w:eastAsia="en-AU"/>
        </w:rPr>
        <w:t>contain vague or ambiguous terms that may be misinterpreted by consumers to infer use in serious forms of health disorders or conditions, such as ‘useful for chronic inflammation’ or ‘used as a healing aid for urinary disorders’</w:t>
      </w:r>
    </w:p>
    <w:p w:rsidR="00A97CD0" w:rsidRDefault="00A97CD0" w:rsidP="00A97CD0">
      <w:pPr>
        <w:rPr>
          <w:lang w:eastAsia="en-AU"/>
        </w:rPr>
      </w:pPr>
      <w:r>
        <w:rPr>
          <w:lang w:eastAsia="en-AU"/>
        </w:rPr>
        <w:t>In order to reduce the possibility that traditional indications are misinterpreted by consumers to imply efficacy, traditional indications must indicate that the health benefit is based exclusively on long-term use and experience. This information should be included in the form of a traditional contextual qualifier.</w:t>
      </w:r>
    </w:p>
    <w:p w:rsidR="00A97CD0" w:rsidRDefault="00A97CD0" w:rsidP="00A97CD0">
      <w:pPr>
        <w:pBdr>
          <w:top w:val="single" w:sz="4" w:space="4" w:color="auto"/>
          <w:left w:val="single" w:sz="4" w:space="4" w:color="auto"/>
          <w:bottom w:val="single" w:sz="4" w:space="4" w:color="auto"/>
          <w:right w:val="single" w:sz="4" w:space="4" w:color="auto"/>
        </w:pBdr>
        <w:rPr>
          <w:b/>
          <w:lang w:val="en-US"/>
        </w:rPr>
      </w:pPr>
      <w:r>
        <w:rPr>
          <w:b/>
          <w:lang w:val="en-US"/>
        </w:rPr>
        <w:t>Examples: Expressing health benefit based on long term use or experience</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Used traditionally in </w:t>
      </w:r>
      <w:proofErr w:type="gramStart"/>
      <w:r>
        <w:rPr>
          <w:i/>
          <w:lang w:val="en-US"/>
        </w:rPr>
        <w:t>native</w:t>
      </w:r>
      <w:proofErr w:type="gramEnd"/>
      <w:r>
        <w:rPr>
          <w:i/>
          <w:lang w:val="en-US"/>
        </w:rPr>
        <w:t xml:space="preserve"> American medicine for the relief of coughs and colds.</w:t>
      </w:r>
    </w:p>
    <w:p w:rsidR="00A97CD0" w:rsidRDefault="00A97CD0" w:rsidP="00A97CD0">
      <w:pPr>
        <w:pBdr>
          <w:top w:val="single" w:sz="4" w:space="4" w:color="auto"/>
          <w:left w:val="single" w:sz="4" w:space="4" w:color="auto"/>
          <w:bottom w:val="single" w:sz="4" w:space="4" w:color="auto"/>
          <w:right w:val="single" w:sz="4" w:space="4" w:color="auto"/>
        </w:pBdr>
        <w:rPr>
          <w:i/>
          <w:lang w:val="en-US"/>
        </w:rPr>
      </w:pPr>
      <w:r>
        <w:rPr>
          <w:i/>
          <w:lang w:val="en-US"/>
        </w:rPr>
        <w:t xml:space="preserve">This traditional medicine has been used by </w:t>
      </w:r>
      <w:proofErr w:type="gramStart"/>
      <w:r>
        <w:rPr>
          <w:i/>
          <w:lang w:val="en-US"/>
        </w:rPr>
        <w:t>native</w:t>
      </w:r>
      <w:proofErr w:type="gramEnd"/>
      <w:r>
        <w:rPr>
          <w:i/>
          <w:lang w:val="en-US"/>
        </w:rPr>
        <w:t xml:space="preserve"> Americans for the relief of coughs and colds.</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Traditional </w:t>
      </w:r>
      <w:proofErr w:type="gramStart"/>
      <w:r>
        <w:rPr>
          <w:i/>
          <w:lang w:val="en-US"/>
        </w:rPr>
        <w:t>native</w:t>
      </w:r>
      <w:proofErr w:type="gramEnd"/>
      <w:r>
        <w:rPr>
          <w:i/>
          <w:lang w:val="en-US"/>
        </w:rPr>
        <w:t xml:space="preserve"> American medicine for the relief of coughs and colds.</w:t>
      </w:r>
    </w:p>
    <w:p w:rsidR="00A97CD0" w:rsidRDefault="00A97CD0" w:rsidP="00A97CD0">
      <w:pPr>
        <w:pBdr>
          <w:top w:val="single" w:sz="4" w:space="4" w:color="auto"/>
          <w:left w:val="single" w:sz="4" w:space="4" w:color="auto"/>
          <w:bottom w:val="single" w:sz="4" w:space="4" w:color="auto"/>
          <w:right w:val="single" w:sz="4" w:space="4" w:color="auto"/>
        </w:pBdr>
        <w:rPr>
          <w:lang w:val="en-US"/>
        </w:rPr>
      </w:pPr>
      <w:r>
        <w:rPr>
          <w:i/>
          <w:lang w:val="en-US"/>
        </w:rPr>
        <w:t>Use of this traditional medicine for the relief of coughs and colds is based upon long-standing use</w:t>
      </w:r>
      <w:r>
        <w:rPr>
          <w:lang w:val="en-US"/>
        </w:rPr>
        <w:t>.</w:t>
      </w:r>
    </w:p>
    <w:p w:rsidR="00A97CD0" w:rsidRDefault="00A97CD0" w:rsidP="00A97CD0">
      <w:pPr>
        <w:pStyle w:val="Heading3"/>
      </w:pPr>
      <w:bookmarkStart w:id="8" w:name="_Toc331689828"/>
      <w:r>
        <w:t>Types of indication according to type of health benefit</w:t>
      </w:r>
      <w:bookmarkEnd w:id="8"/>
    </w:p>
    <w:p w:rsidR="00A97CD0" w:rsidRDefault="00A97CD0" w:rsidP="00A97CD0">
      <w:pPr>
        <w:spacing w:after="240"/>
        <w:rPr>
          <w:lang w:val="en-US"/>
        </w:rPr>
      </w:pPr>
      <w:r>
        <w:rPr>
          <w:lang w:val="en-US"/>
        </w:rPr>
        <w:t>In broad terms, indications may target biological factors or processes, health states or clinical conditions. The following diagram provides a schematic representation of all states of health through health to symptomatic illness. It also includes a description of the different types of indications according to the action or effect on the indication target. Indications can be conveniently separated into three clusters – indications targeting: a generally healthy state; risk reduction/prevention; and illness.</w:t>
      </w:r>
    </w:p>
    <w:p w:rsidR="00A97CD0" w:rsidRDefault="00A97CD0" w:rsidP="00A97CD0">
      <w:pPr>
        <w:pStyle w:val="Heading4"/>
      </w:pPr>
      <w:bookmarkStart w:id="9" w:name="_Toc331689829"/>
      <w:r>
        <w:t>Cluster 1: Health indications</w:t>
      </w:r>
      <w:bookmarkEnd w:id="9"/>
    </w:p>
    <w:p w:rsidR="00A97CD0" w:rsidRDefault="00A97CD0" w:rsidP="00A97CD0">
      <w:r>
        <w:rPr>
          <w:lang w:val="en-US"/>
        </w:rPr>
        <w:t xml:space="preserve">Health indications target healthy individuals and assist in maintaining or improving their state of health and wellbeing. </w:t>
      </w:r>
      <w:r>
        <w:t>An indication that is associated with well-being, wellness or to health generally, requires supporting evidence. Well-being, wellness and health are complex states and do not just refer to the absence of illness. The multiple dimensions of these states are complex and holistic. Metrics used to quantify them would need to be valid measures and take into account both objective and subjective data such as quality of life physiological, psychological, social and demographic factors.</w:t>
      </w:r>
    </w:p>
    <w:p w:rsidR="00A97CD0" w:rsidRDefault="00A97CD0" w:rsidP="00A97CD0">
      <w:pPr>
        <w:rPr>
          <w:lang w:val="en-US"/>
        </w:rPr>
      </w:pPr>
      <w:r>
        <w:rPr>
          <w:lang w:val="en-US"/>
        </w:rPr>
        <w:t>The health indication cluster includes the following types of indications:</w:t>
      </w:r>
    </w:p>
    <w:p w:rsidR="00A97CD0" w:rsidRDefault="00A97CD0" w:rsidP="00A97CD0">
      <w:pPr>
        <w:pStyle w:val="ListBullet"/>
        <w:numPr>
          <w:ilvl w:val="0"/>
          <w:numId w:val="31"/>
        </w:numPr>
        <w:spacing w:before="0" w:after="160"/>
        <w:rPr>
          <w:lang w:val="en-US"/>
        </w:rPr>
      </w:pPr>
      <w:r>
        <w:rPr>
          <w:b/>
          <w:lang w:val="en-US"/>
        </w:rPr>
        <w:t>Health maintenance</w:t>
      </w:r>
      <w:r>
        <w:rPr>
          <w:lang w:val="en-US"/>
        </w:rPr>
        <w:t>: normal physiological effects of nutrients and other substances in growth, development and normal functions of the body.</w:t>
      </w:r>
    </w:p>
    <w:p w:rsidR="00A97CD0" w:rsidRDefault="00A97CD0" w:rsidP="00A97CD0">
      <w:pPr>
        <w:pStyle w:val="ListBullet"/>
        <w:numPr>
          <w:ilvl w:val="0"/>
          <w:numId w:val="31"/>
        </w:numPr>
        <w:spacing w:before="0" w:after="160"/>
        <w:rPr>
          <w:b/>
          <w:lang w:val="en-US"/>
        </w:rPr>
      </w:pPr>
      <w:r>
        <w:rPr>
          <w:b/>
          <w:lang w:val="en-US"/>
        </w:rPr>
        <w:t>Health enhancement</w:t>
      </w:r>
      <w:r>
        <w:rPr>
          <w:lang w:val="en-US"/>
        </w:rPr>
        <w:t>: specific beneficial effects of nutrients and other substances on physiological and psychological activities beyond their role in normal growth, development and normal functions of the body.</w:t>
      </w:r>
      <w:r>
        <w:rPr>
          <w:b/>
          <w:lang w:val="en-US"/>
        </w:rPr>
        <w:t xml:space="preserve"> </w:t>
      </w:r>
    </w:p>
    <w:p w:rsidR="00A97CD0" w:rsidRDefault="00A97CD0" w:rsidP="00A97CD0">
      <w:pPr>
        <w:spacing w:before="0" w:after="0" w:line="240" w:lineRule="auto"/>
        <w:rPr>
          <w:b/>
          <w:bCs/>
          <w:szCs w:val="21"/>
        </w:rPr>
      </w:pPr>
      <w:r>
        <w:br w:type="page"/>
      </w:r>
    </w:p>
    <w:p w:rsidR="00A97CD0" w:rsidRDefault="00A97CD0" w:rsidP="00A97CD0">
      <w:pPr>
        <w:pStyle w:val="Heading4"/>
      </w:pPr>
      <w:bookmarkStart w:id="10" w:name="_Toc331689830"/>
      <w:r>
        <w:lastRenderedPageBreak/>
        <w:t>Cluster 2: Risk Reduction and prevention indications</w:t>
      </w:r>
      <w:bookmarkEnd w:id="10"/>
    </w:p>
    <w:p w:rsidR="00A97CD0" w:rsidRDefault="00A97CD0" w:rsidP="00A97CD0">
      <w:pPr>
        <w:rPr>
          <w:lang w:val="en-US"/>
        </w:rPr>
      </w:pPr>
      <w:r>
        <w:rPr>
          <w:lang w:val="en-US"/>
        </w:rPr>
        <w:t>Risk reduction/prevention indications target individuals at risk of illness and partially or completely reduce the risk. The risk reduction/prevention indication cluster includes the following types of indications:</w:t>
      </w:r>
    </w:p>
    <w:p w:rsidR="00A97CD0" w:rsidRDefault="00A97CD0" w:rsidP="00A97CD0">
      <w:pPr>
        <w:pStyle w:val="ListBullet"/>
        <w:numPr>
          <w:ilvl w:val="0"/>
          <w:numId w:val="31"/>
        </w:numPr>
        <w:spacing w:before="0"/>
        <w:ind w:left="357" w:hanging="357"/>
        <w:rPr>
          <w:lang w:val="en-US"/>
        </w:rPr>
      </w:pPr>
      <w:r>
        <w:rPr>
          <w:b/>
          <w:lang w:val="en-US"/>
        </w:rPr>
        <w:t>Risk Reduction</w:t>
      </w:r>
      <w:r>
        <w:rPr>
          <w:lang w:val="en-US"/>
        </w:rPr>
        <w:t xml:space="preserve">: </w:t>
      </w:r>
      <w:proofErr w:type="spellStart"/>
      <w:r>
        <w:rPr>
          <w:lang w:val="en-US"/>
        </w:rPr>
        <w:t>favourable</w:t>
      </w:r>
      <w:proofErr w:type="spellEnd"/>
      <w:r>
        <w:rPr>
          <w:b/>
          <w:lang w:val="en-US"/>
        </w:rPr>
        <w:t xml:space="preserve"> </w:t>
      </w:r>
      <w:r>
        <w:rPr>
          <w:lang w:val="en-US"/>
        </w:rPr>
        <w:t xml:space="preserve">modification of a known risk factor for a specified illness. </w:t>
      </w:r>
      <w:proofErr w:type="gramStart"/>
      <w:r>
        <w:rPr>
          <w:lang w:val="en-US"/>
        </w:rPr>
        <w:t>condition</w:t>
      </w:r>
      <w:proofErr w:type="gramEnd"/>
      <w:r>
        <w:rPr>
          <w:lang w:val="en-US"/>
        </w:rPr>
        <w:t>, disease or disorder.</w:t>
      </w:r>
    </w:p>
    <w:p w:rsidR="00A97CD0" w:rsidRDefault="00A97CD0" w:rsidP="00A97CD0">
      <w:pPr>
        <w:pStyle w:val="ListBullet"/>
        <w:numPr>
          <w:ilvl w:val="0"/>
          <w:numId w:val="31"/>
        </w:numPr>
        <w:spacing w:before="0" w:after="160"/>
        <w:rPr>
          <w:lang w:val="en-US"/>
        </w:rPr>
      </w:pPr>
      <w:r>
        <w:rPr>
          <w:b/>
          <w:lang w:val="en-US"/>
        </w:rPr>
        <w:t>Prevention</w:t>
      </w:r>
      <w:r>
        <w:rPr>
          <w:lang w:val="en-US"/>
        </w:rPr>
        <w:t>: prevents the development of a named illness.</w:t>
      </w:r>
    </w:p>
    <w:p w:rsidR="00A97CD0" w:rsidRDefault="00A97CD0" w:rsidP="00A97CD0">
      <w:pPr>
        <w:pStyle w:val="Heading4"/>
      </w:pPr>
      <w:bookmarkStart w:id="11" w:name="_Toc331689831"/>
      <w:r>
        <w:t>Cluster 3: Illness indications</w:t>
      </w:r>
      <w:bookmarkEnd w:id="11"/>
    </w:p>
    <w:p w:rsidR="00A97CD0" w:rsidRDefault="00A97CD0" w:rsidP="00A97CD0">
      <w:pPr>
        <w:rPr>
          <w:lang w:val="en-US"/>
        </w:rPr>
      </w:pPr>
      <w:r>
        <w:rPr>
          <w:lang w:val="en-US"/>
        </w:rPr>
        <w:t>Illness indications target individuals suffering an illness (condition, disease or disorder). The illness claim cluster includes the following types of claims:</w:t>
      </w:r>
    </w:p>
    <w:p w:rsidR="00A97CD0" w:rsidRDefault="00A97CD0" w:rsidP="00A97CD0">
      <w:pPr>
        <w:pStyle w:val="ListBullet"/>
        <w:numPr>
          <w:ilvl w:val="0"/>
          <w:numId w:val="31"/>
        </w:numPr>
        <w:spacing w:before="0" w:after="160"/>
        <w:rPr>
          <w:lang w:val="en-US"/>
        </w:rPr>
      </w:pPr>
      <w:r>
        <w:rPr>
          <w:b/>
          <w:lang w:val="en-US"/>
        </w:rPr>
        <w:t>Management</w:t>
      </w:r>
      <w:r>
        <w:rPr>
          <w:lang w:val="en-US"/>
        </w:rPr>
        <w:t>: sole agent or contributing factor in the control of an illness such that morbidity is decreased and quality of life improved without resolution of the illness.</w:t>
      </w:r>
    </w:p>
    <w:p w:rsidR="00A97CD0" w:rsidRDefault="00A97CD0" w:rsidP="00A97CD0">
      <w:pPr>
        <w:pStyle w:val="ListBullet"/>
        <w:numPr>
          <w:ilvl w:val="0"/>
          <w:numId w:val="31"/>
        </w:numPr>
        <w:spacing w:before="0" w:after="160"/>
        <w:rPr>
          <w:lang w:val="en-US"/>
        </w:rPr>
      </w:pPr>
      <w:r>
        <w:rPr>
          <w:b/>
          <w:lang w:val="en-US"/>
        </w:rPr>
        <w:t>Symptom relief</w:t>
      </w:r>
      <w:r>
        <w:rPr>
          <w:lang w:val="en-US"/>
        </w:rPr>
        <w:t>:  reduces the frequency, duration and/or severity of a symptom or cluster of symptoms associated with a named illness.</w:t>
      </w:r>
    </w:p>
    <w:p w:rsidR="00A97CD0" w:rsidRDefault="00A97CD0" w:rsidP="00A97CD0">
      <w:pPr>
        <w:pStyle w:val="ListBullet"/>
        <w:numPr>
          <w:ilvl w:val="0"/>
          <w:numId w:val="31"/>
        </w:numPr>
        <w:spacing w:before="0" w:after="160"/>
        <w:rPr>
          <w:lang w:val="en-US"/>
        </w:rPr>
      </w:pPr>
      <w:r>
        <w:rPr>
          <w:b/>
          <w:lang w:val="en-US"/>
        </w:rPr>
        <w:t>Cure</w:t>
      </w:r>
      <w:r>
        <w:rPr>
          <w:lang w:val="en-US"/>
        </w:rPr>
        <w:t>: effects complete resolution of an illness and all associated morbidity</w:t>
      </w:r>
      <w:r>
        <w:rPr>
          <w:b/>
          <w:lang w:val="en-US"/>
        </w:rPr>
        <w:t>.</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b/>
          <w:lang w:val="en-US"/>
        </w:rPr>
      </w:pPr>
      <w:r>
        <w:rPr>
          <w:b/>
          <w:lang w:val="en-US"/>
        </w:rPr>
        <w:t>Examples of indications for each cluster</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b/>
          <w:i/>
          <w:lang w:val="en-US"/>
        </w:rPr>
      </w:pPr>
      <w:r>
        <w:rPr>
          <w:b/>
          <w:i/>
          <w:lang w:val="en-US"/>
        </w:rPr>
        <w:t>Cluster 1</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Maintenance indications: </w:t>
      </w:r>
      <w:r>
        <w:rPr>
          <w:i/>
          <w:lang w:val="en-US"/>
        </w:rPr>
        <w:tab/>
      </w:r>
      <w:r>
        <w:rPr>
          <w:i/>
          <w:lang w:val="en-US"/>
        </w:rPr>
        <w:tab/>
        <w:t>(C) to/for the (Q</w:t>
      </w:r>
      <w:r>
        <w:rPr>
          <w:i/>
          <w:vertAlign w:val="subscript"/>
          <w:lang w:val="en-US"/>
        </w:rPr>
        <w:t>A</w:t>
      </w:r>
      <w:r>
        <w:rPr>
          <w:i/>
          <w:lang w:val="en-US"/>
        </w:rPr>
        <w:t>) maintenance of (Q</w:t>
      </w:r>
      <w:r>
        <w:rPr>
          <w:i/>
          <w:vertAlign w:val="subscript"/>
          <w:lang w:val="en-US"/>
        </w:rPr>
        <w:t>T</w:t>
      </w:r>
      <w:proofErr w:type="gramStart"/>
      <w:r>
        <w:rPr>
          <w:i/>
          <w:lang w:val="en-US"/>
        </w:rPr>
        <w:t>)T</w:t>
      </w:r>
      <w:proofErr w:type="gramEnd"/>
      <w:r>
        <w:rPr>
          <w:i/>
          <w:lang w:val="en-US"/>
        </w:rPr>
        <w:t>,</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Enhancement indications: </w:t>
      </w:r>
      <w:r>
        <w:rPr>
          <w:i/>
          <w:lang w:val="en-US"/>
        </w:rPr>
        <w:tab/>
      </w:r>
      <w:r>
        <w:rPr>
          <w:i/>
          <w:lang w:val="en-US"/>
        </w:rPr>
        <w:tab/>
        <w:t>(C) to/for the (Q</w:t>
      </w:r>
      <w:r>
        <w:rPr>
          <w:i/>
          <w:vertAlign w:val="subscript"/>
          <w:lang w:val="en-US"/>
        </w:rPr>
        <w:t>A</w:t>
      </w:r>
      <w:r>
        <w:rPr>
          <w:i/>
          <w:lang w:val="en-US"/>
        </w:rPr>
        <w:t>) enhancement of (Q</w:t>
      </w:r>
      <w:r>
        <w:rPr>
          <w:i/>
          <w:vertAlign w:val="subscript"/>
          <w:lang w:val="en-US"/>
        </w:rPr>
        <w:t>T</w:t>
      </w:r>
      <w:proofErr w:type="gramStart"/>
      <w:r>
        <w:rPr>
          <w:i/>
          <w:lang w:val="en-US"/>
        </w:rPr>
        <w:t>)T</w:t>
      </w:r>
      <w:proofErr w:type="gramEnd"/>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b/>
          <w:i/>
          <w:lang w:val="en-US"/>
        </w:rPr>
      </w:pPr>
      <w:r>
        <w:rPr>
          <w:b/>
          <w:i/>
          <w:lang w:val="en-US"/>
        </w:rPr>
        <w:t>Cluster 2</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Reduction indications: </w:t>
      </w:r>
      <w:r>
        <w:rPr>
          <w:i/>
          <w:lang w:val="en-US"/>
        </w:rPr>
        <w:tab/>
      </w:r>
      <w:r>
        <w:rPr>
          <w:i/>
          <w:lang w:val="en-US"/>
        </w:rPr>
        <w:tab/>
      </w:r>
      <w:r>
        <w:rPr>
          <w:i/>
          <w:lang w:val="en-US"/>
        </w:rPr>
        <w:tab/>
        <w:t>(C) to/for the (Q</w:t>
      </w:r>
      <w:r>
        <w:rPr>
          <w:i/>
          <w:vertAlign w:val="subscript"/>
          <w:lang w:val="en-US"/>
        </w:rPr>
        <w:t>A</w:t>
      </w:r>
      <w:r>
        <w:rPr>
          <w:i/>
          <w:lang w:val="en-US"/>
        </w:rPr>
        <w:t>) reduction of (Q</w:t>
      </w:r>
      <w:r>
        <w:rPr>
          <w:i/>
          <w:vertAlign w:val="subscript"/>
          <w:lang w:val="en-US"/>
        </w:rPr>
        <w:t>T</w:t>
      </w:r>
      <w:proofErr w:type="gramStart"/>
      <w:r>
        <w:rPr>
          <w:i/>
          <w:lang w:val="en-US"/>
        </w:rPr>
        <w:t>)T</w:t>
      </w:r>
      <w:proofErr w:type="gramEnd"/>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Prevention indications: </w:t>
      </w:r>
      <w:r>
        <w:rPr>
          <w:i/>
          <w:lang w:val="en-US"/>
        </w:rPr>
        <w:tab/>
      </w:r>
      <w:r>
        <w:rPr>
          <w:i/>
          <w:lang w:val="en-US"/>
        </w:rPr>
        <w:tab/>
        <w:t>(C) to/for the (Q</w:t>
      </w:r>
      <w:r>
        <w:rPr>
          <w:i/>
          <w:vertAlign w:val="subscript"/>
          <w:lang w:val="en-US"/>
        </w:rPr>
        <w:t>A</w:t>
      </w:r>
      <w:r>
        <w:rPr>
          <w:i/>
          <w:lang w:val="en-US"/>
        </w:rPr>
        <w:t>) prevention of (Q</w:t>
      </w:r>
      <w:r>
        <w:rPr>
          <w:i/>
          <w:vertAlign w:val="subscript"/>
          <w:lang w:val="en-US"/>
        </w:rPr>
        <w:t>T</w:t>
      </w:r>
      <w:proofErr w:type="gramStart"/>
      <w:r>
        <w:rPr>
          <w:i/>
          <w:lang w:val="en-US"/>
        </w:rPr>
        <w:t>)T</w:t>
      </w:r>
      <w:proofErr w:type="gramEnd"/>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b/>
          <w:i/>
          <w:lang w:val="en-US"/>
        </w:rPr>
      </w:pPr>
      <w:r>
        <w:rPr>
          <w:b/>
          <w:i/>
          <w:lang w:val="en-US"/>
        </w:rPr>
        <w:t>Cluster 3</w:t>
      </w:r>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Management indications: </w:t>
      </w:r>
      <w:r>
        <w:rPr>
          <w:i/>
          <w:lang w:val="en-US"/>
        </w:rPr>
        <w:tab/>
      </w:r>
      <w:r>
        <w:rPr>
          <w:i/>
          <w:lang w:val="en-US"/>
        </w:rPr>
        <w:tab/>
        <w:t>(C) to/for the (Q</w:t>
      </w:r>
      <w:r>
        <w:rPr>
          <w:i/>
          <w:vertAlign w:val="subscript"/>
          <w:lang w:val="en-US"/>
        </w:rPr>
        <w:t>A</w:t>
      </w:r>
      <w:r>
        <w:rPr>
          <w:i/>
          <w:lang w:val="en-US"/>
        </w:rPr>
        <w:t>) management of (Q</w:t>
      </w:r>
      <w:r>
        <w:rPr>
          <w:i/>
          <w:vertAlign w:val="subscript"/>
          <w:lang w:val="en-US"/>
        </w:rPr>
        <w:t>T</w:t>
      </w:r>
      <w:proofErr w:type="gramStart"/>
      <w:r>
        <w:rPr>
          <w:i/>
          <w:lang w:val="en-US"/>
        </w:rPr>
        <w:t>)T</w:t>
      </w:r>
      <w:proofErr w:type="gramEnd"/>
    </w:p>
    <w:p w:rsidR="00A97CD0" w:rsidRDefault="00A97CD0" w:rsidP="00A97CD0">
      <w:pPr>
        <w:pBdr>
          <w:top w:val="single" w:sz="4" w:space="4" w:color="auto"/>
          <w:left w:val="single" w:sz="4" w:space="4" w:color="auto"/>
          <w:bottom w:val="single" w:sz="4" w:space="4" w:color="auto"/>
          <w:right w:val="single" w:sz="4" w:space="4" w:color="auto"/>
        </w:pBdr>
        <w:spacing w:line="240" w:lineRule="auto"/>
        <w:rPr>
          <w:i/>
          <w:lang w:val="en-US"/>
        </w:rPr>
      </w:pPr>
      <w:r>
        <w:rPr>
          <w:i/>
          <w:lang w:val="en-US"/>
        </w:rPr>
        <w:t xml:space="preserve">Symptomatic relief indications: </w:t>
      </w:r>
      <w:r>
        <w:rPr>
          <w:i/>
          <w:lang w:val="en-US"/>
        </w:rPr>
        <w:tab/>
        <w:t>(C) to/for the (Q</w:t>
      </w:r>
      <w:r>
        <w:rPr>
          <w:i/>
          <w:vertAlign w:val="subscript"/>
          <w:lang w:val="en-US"/>
        </w:rPr>
        <w:t>A</w:t>
      </w:r>
      <w:r>
        <w:rPr>
          <w:i/>
          <w:lang w:val="en-US"/>
        </w:rPr>
        <w:t>) relief of symptoms of T</w:t>
      </w:r>
    </w:p>
    <w:p w:rsidR="00A97CD0" w:rsidRDefault="00A97CD0" w:rsidP="00A97CD0">
      <w:pPr>
        <w:pStyle w:val="Heading3"/>
      </w:pPr>
      <w:bookmarkStart w:id="12" w:name="_Toc331689832"/>
      <w:r>
        <w:t>Nutrient Sources and Supplementation</w:t>
      </w:r>
      <w:bookmarkEnd w:id="12"/>
    </w:p>
    <w:p w:rsidR="00A97CD0" w:rsidRDefault="00A97CD0" w:rsidP="00A97CD0">
      <w:r>
        <w:t>Statements solely referring to supplementation with vitamins, minerals or other essential nutrients (</w:t>
      </w:r>
      <w:proofErr w:type="spellStart"/>
      <w:r>
        <w:t>eg</w:t>
      </w:r>
      <w:proofErr w:type="spellEnd"/>
      <w:r>
        <w:t xml:space="preserve"> ‘a source of calcium’) are not indications and are not required to be included on the ARTG. These statements will not be included in the list of standard indications.</w:t>
      </w:r>
    </w:p>
    <w:p w:rsidR="00A97CD0" w:rsidRDefault="00A97CD0" w:rsidP="00A97CD0">
      <w:pPr>
        <w:pStyle w:val="Heading2"/>
      </w:pPr>
      <w:bookmarkStart w:id="13" w:name="_Toc331689833"/>
      <w:r>
        <w:t xml:space="preserve">4. Coding standard </w:t>
      </w:r>
      <w:proofErr w:type="spellStart"/>
      <w:r>
        <w:t>listable</w:t>
      </w:r>
      <w:proofErr w:type="spellEnd"/>
      <w:r>
        <w:t xml:space="preserve"> indications</w:t>
      </w:r>
      <w:bookmarkEnd w:id="13"/>
    </w:p>
    <w:p w:rsidR="00A97CD0" w:rsidRDefault="00A97CD0" w:rsidP="00A97CD0">
      <w:r>
        <w:t xml:space="preserve">The ICD is the standard diagnostic tool for epidemiology, health management and clinical purposes. This includes the analysis of the general health situation of population groups. It is used to monitor the incidence and prevalence of diseases and other health problems. It </w:t>
      </w:r>
      <w:r>
        <w:lastRenderedPageBreak/>
        <w:t>is used to classify diseases and other health problems recorded on many types of health and vital records including death certificates and health records.</w:t>
      </w:r>
    </w:p>
    <w:p w:rsidR="00A97CD0" w:rsidRDefault="00A97CD0" w:rsidP="00A97CD0">
      <w:r>
        <w:t xml:space="preserve">The ICD groups conditions according to system into 22 chapters (from A-U). Each chapter then provides a number code for conditions falling within that system (from 00-99). Conditions may then be further subdivided according to aetiology. </w:t>
      </w:r>
    </w:p>
    <w:p w:rsidR="00A97CD0" w:rsidRDefault="00A97CD0" w:rsidP="00A97CD0">
      <w:r>
        <w:t>The ICD can also be used to classify indications according to the health benefit they provide and have been adopted for the purpose of coding standard indications. The existing ICD‐10 framework will maximise the capacity of the system to cater for new standard indications.</w:t>
      </w:r>
    </w:p>
    <w:p w:rsidR="00A97CD0" w:rsidRDefault="00A97CD0" w:rsidP="00A97CD0">
      <w:r>
        <w:t>Coding of standard indications is readily achievable if indications are aligned with the schematic representation of a standard indication provided above:</w:t>
      </w:r>
    </w:p>
    <w:p w:rsidR="00A97CD0" w:rsidRDefault="00A97CD0" w:rsidP="00A97CD0">
      <w:pPr>
        <w:jc w:val="center"/>
        <w:rPr>
          <w:b/>
          <w:szCs w:val="20"/>
          <w:lang w:val="en-US"/>
        </w:rPr>
      </w:pPr>
      <w:r>
        <w:rPr>
          <w:b/>
          <w:szCs w:val="20"/>
          <w:lang w:val="en-US"/>
        </w:rPr>
        <w:t>(CONTEXT) to/for the (Q</w:t>
      </w:r>
      <w:r>
        <w:rPr>
          <w:b/>
          <w:szCs w:val="20"/>
          <w:vertAlign w:val="subscript"/>
          <w:lang w:val="en-US"/>
        </w:rPr>
        <w:t>A</w:t>
      </w:r>
      <w:r>
        <w:rPr>
          <w:b/>
          <w:szCs w:val="20"/>
          <w:lang w:val="en-US"/>
        </w:rPr>
        <w:t>) ACTION of (Q</w:t>
      </w:r>
      <w:r>
        <w:rPr>
          <w:b/>
          <w:szCs w:val="20"/>
          <w:vertAlign w:val="subscript"/>
          <w:lang w:val="en-US"/>
        </w:rPr>
        <w:t>T</w:t>
      </w:r>
      <w:r>
        <w:rPr>
          <w:b/>
          <w:szCs w:val="20"/>
          <w:lang w:val="en-US"/>
        </w:rPr>
        <w:t>) TARGET</w:t>
      </w:r>
    </w:p>
    <w:p w:rsidR="00A97CD0" w:rsidRDefault="00A97CD0" w:rsidP="00A97CD0">
      <w:pPr>
        <w:rPr>
          <w:b/>
          <w:lang w:val="en-US"/>
        </w:rPr>
      </w:pPr>
      <w:r>
        <w:t xml:space="preserve">The code for a standard </w:t>
      </w:r>
      <w:proofErr w:type="spellStart"/>
      <w:r>
        <w:t>listable</w:t>
      </w:r>
      <w:proofErr w:type="spellEnd"/>
      <w:r>
        <w:t xml:space="preserve"> indication is of the following format:</w:t>
      </w:r>
    </w:p>
    <w:p w:rsidR="00A97CD0" w:rsidRDefault="00A97CD0" w:rsidP="00A97CD0">
      <w:pPr>
        <w:spacing w:before="0"/>
        <w:rPr>
          <w:b/>
          <w:lang w:val="en-US"/>
        </w:rPr>
      </w:pPr>
      <w:r>
        <w:rPr>
          <w:b/>
          <w:lang w:val="en-US"/>
        </w:rPr>
        <w:tab/>
      </w:r>
      <w:r>
        <w:rPr>
          <w:b/>
          <w:lang w:val="en-US"/>
        </w:rPr>
        <w:tab/>
      </w:r>
      <w:r>
        <w:rPr>
          <w:b/>
          <w:lang w:val="en-US"/>
        </w:rPr>
        <w:tab/>
      </w:r>
      <w:r>
        <w:rPr>
          <w:b/>
          <w:lang w:val="en-US"/>
        </w:rPr>
        <w:tab/>
      </w:r>
      <w:r>
        <w:rPr>
          <w:b/>
          <w:lang w:val="en-US"/>
        </w:rPr>
        <w:tab/>
        <w:t xml:space="preserve">   ___  ___ ___  __  __</w:t>
      </w:r>
      <w:r w:rsidR="00725CC7">
        <w:rPr>
          <w:noProof/>
          <w:lang w:eastAsia="en-AU"/>
        </w:rPr>
        <mc:AlternateContent>
          <mc:Choice Requires="wps">
            <w:drawing>
              <wp:anchor distT="0" distB="0" distL="114300" distR="114300" simplePos="0" relativeHeight="251836416" behindDoc="0" locked="0" layoutInCell="1" allowOverlap="1">
                <wp:simplePos x="0" y="0"/>
                <wp:positionH relativeFrom="column">
                  <wp:posOffset>3267075</wp:posOffset>
                </wp:positionH>
                <wp:positionV relativeFrom="paragraph">
                  <wp:posOffset>153035</wp:posOffset>
                </wp:positionV>
                <wp:extent cx="381635" cy="128905"/>
                <wp:effectExtent l="38100" t="57785" r="8890" b="13335"/>
                <wp:wrapNone/>
                <wp:docPr id="11"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63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7" o:spid="_x0000_s1026" type="#_x0000_t32" style="position:absolute;margin-left:257.25pt;margin-top:12.05pt;width:30.05pt;height:10.15pt;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4RQIAAHgEAAAOAAAAZHJzL2Uyb0RvYy54bWysVMFu2zAMvQ/YPwi6p7bTJE2MOkVhJ9uh&#10;2wq0212R5FiYLAmSGicY9u8llTRdt8swzAeZski+R+rR1zf7XpOd9EFZU9HiIqdEGm6FMtuKfn1c&#10;j+aUhMiMYNoaWdGDDPRm+f7d9eBKObad1UJ6AklMKAdX0S5GV2ZZ4J3sWbiwTho4bK3vWYSt32bC&#10;swGy9zob5/ksG6wXzlsuQ4CvzfGQLlP+tpU8fmnbICPRFQVuMa0+rRtcs+U1K7eeuU7xEw32Dyx6&#10;pgyAnlM1LDLy5NUfqXrFvQ22jRfc9pltW8VlqgGqKfLfqnnomJOpFmhOcOc2hf+Xln/e3XuiBNxd&#10;QYlhPdzR7VO0CZqM51fYocGFEhxrc++xRr43D+7O8u+BGFt3zGxlcn88OIguMCJ7E4Kb4ABnM3yy&#10;AnwYIKR27Vvfk1Yr9xEDk/UNLYSB5pB9uqnD+abkPhIOHy/nxexySgmHo2I8X+TThMpKTIjBzof4&#10;QdqeoFHRED1T2y7W1hjQhPVHCLa7CxHpvgZgsLFrpXWShjZkqOhiOp4mTsFqJfAQ3YLfbmrtyY6h&#10;uNJzYvHGzdsnI1KyTjKxOtmRKQ02ialp0Stoo5YU0XopKNES5gmtIz1tEBHKB8In66ivH4t8sZqv&#10;5pPRZDxbjSZ504xu1/VkNFsXV9PmsqnrpviJ5ItJ2SkhpEH+L1ovJn+npdPUHVV6Vvu5Udnb7Kmj&#10;QPblnUgnTaAMjoLaWHG491gdygPknZxPo4jz8+s+eb3+MJbPAAAA//8DAFBLAwQUAAYACAAAACEA&#10;qemmod8AAAAJAQAADwAAAGRycy9kb3ducmV2LnhtbEyPy07DMBBF90j8gzVI7KiTyikQMqkQEitA&#10;qI8NOzeeJlHjsRu7afl7zAqWo3t075lqebGDmGgMvWOEfJaBIG6c6blF2G5e7x5AhKjZ6MExIXxT&#10;gGV9fVXp0rgzr2hax1akEg6lRuhi9KWUoenI6jBznjhlezdaHdM5ttKM+pzK7SDnWbaQVvecFjrt&#10;6aWj5rA+WYR95pvPx82bOR69mtr3r63PPw6ItzeX5ycQkS7xD4Zf/aQOdXLauRObIAaEIldFQhHm&#10;KgeRgOJeLUDsEJRSIOtK/v+g/gEAAP//AwBQSwECLQAUAAYACAAAACEAtoM4kv4AAADhAQAAEwAA&#10;AAAAAAAAAAAAAAAAAAAAW0NvbnRlbnRfVHlwZXNdLnhtbFBLAQItABQABgAIAAAAIQA4/SH/1gAA&#10;AJQBAAALAAAAAAAAAAAAAAAAAC8BAABfcmVscy8ucmVsc1BLAQItABQABgAIAAAAIQDw/dG4RQIA&#10;AHgEAAAOAAAAAAAAAAAAAAAAAC4CAABkcnMvZTJvRG9jLnhtbFBLAQItABQABgAIAAAAIQCp6aah&#10;3wAAAAkBAAAPAAAAAAAAAAAAAAAAAJ8EAABkcnMvZG93bnJldi54bWxQSwUGAAAAAAQABADzAAAA&#10;qwUAAAAA&#10;">
                <v:stroke endarrow="block"/>
              </v:shape>
            </w:pict>
          </mc:Fallback>
        </mc:AlternateContent>
      </w:r>
      <w:r w:rsidR="00725CC7">
        <w:rPr>
          <w:noProof/>
          <w:lang w:eastAsia="en-AU"/>
        </w:rPr>
        <mc:AlternateContent>
          <mc:Choice Requires="wps">
            <w:drawing>
              <wp:anchor distT="0" distB="0" distL="114300" distR="114300" simplePos="0" relativeHeight="251835392" behindDoc="0" locked="0" layoutInCell="1" allowOverlap="1">
                <wp:simplePos x="0" y="0"/>
                <wp:positionH relativeFrom="column">
                  <wp:posOffset>3057525</wp:posOffset>
                </wp:positionH>
                <wp:positionV relativeFrom="paragraph">
                  <wp:posOffset>153035</wp:posOffset>
                </wp:positionV>
                <wp:extent cx="155575" cy="128905"/>
                <wp:effectExtent l="47625" t="48260" r="6350" b="13335"/>
                <wp:wrapNone/>
                <wp:docPr id="10"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240.75pt;margin-top:12.05pt;width:12.25pt;height:10.1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fPQwIAAHgEAAAOAAAAZHJzL2Uyb0RvYy54bWysVE2P2jAQvVfqf7B8hySUsBARVqsE2sO2&#10;Rdpt78Z2iFXHtmxDQFX/e8cmy5b2UlXNwRnH8/Hm+U2W96dOoiO3TmhV4mycYsQV1UyofYm/PG9G&#10;c4ycJ4oRqRUv8Zk7fL96+2bZm4JPdKsl4xZBEuWK3pS49d4USeJoyzvixtpwBYeNth3xsLX7hFnS&#10;Q/ZOJpM0nSW9tsxYTblz8LW+HOJVzN80nPrPTeO4R7LEgM3H1cZ1F9ZktSTF3hLTCjrAIP+AoiNC&#10;QdFrqpp4gg5W/JGqE9Rqpxs/prpLdNMIymMP0E2W/tbNU0sMj70AOc5caXL/Ly39dNxaJBjcHdCj&#10;SAd39HDwOpZGk/ksMNQbV4BjpbY29EhP6sk8avrNIaWrlqg9j+7PZwPRWYhIbkLCxhmos+s/agY+&#10;BCpEuk6N7VAjhfkQAqP1NVihDJCDTvGmzteb4iePKHzM8jy/yzGicJRN5os0j1VJERKGYGOdf891&#10;h4JRYuctEfvWV1op0IS2lxLk+Oh8gPsaEIKV3ggpozSkQn2JF/kkj5icloKFw+Dm7H5XSYuOJIgr&#10;PgOKGzerD4rFZC0nbD3YnggJNvKRNG8F0Cg5DtU6zjCSHOYpWBd4UoWK0D4AHqyLvr4v0sV6vp5P&#10;R9PJbD2apnU9ethU09Fsk93l9bu6qursRwCfTYtWMMZVwP+i9Wz6d1oapu6i0qvar0Qlt9kjowD2&#10;5R1BR00EGVwEtdPsvLWhuyAPkHd0HkYxzM+v++j1+sNY/QQAAP//AwBQSwMEFAAGAAgAAAAhALqE&#10;sfLeAAAACQEAAA8AAABkcnMvZG93bnJldi54bWxMj8FOwzAQRO9I/IO1SNyonSqtSohTISROgBBt&#10;L9zceJtEjddu7Kbh71lO9Liap9k35XpyvRhxiJ0nDdlMgUCqve2o0bDbvj6sQMRkyJreE2r4wQjr&#10;6vamNIX1F/rCcZMawSUUC6OhTSkUUsa6RWfizAckzg5+cCbxOTTSDubC5a6Xc6WW0pmO+ENrAr60&#10;WB83Z6fhoEL9+bh9s6dTyMfm/XsXso+j1vd30/MTiIRT+ofhT5/VoWKnvT+TjaLXkK+yBaMa5nkG&#10;goGFWvK4PSd5DrIq5fWC6hcAAP//AwBQSwECLQAUAAYACAAAACEAtoM4kv4AAADhAQAAEwAAAAAA&#10;AAAAAAAAAAAAAAAAW0NvbnRlbnRfVHlwZXNdLnhtbFBLAQItABQABgAIAAAAIQA4/SH/1gAAAJQB&#10;AAALAAAAAAAAAAAAAAAAAC8BAABfcmVscy8ucmVsc1BLAQItABQABgAIAAAAIQCLeofPQwIAAHgE&#10;AAAOAAAAAAAAAAAAAAAAAC4CAABkcnMvZTJvRG9jLnhtbFBLAQItABQABgAIAAAAIQC6hLHy3gAA&#10;AAkBAAAPAAAAAAAAAAAAAAAAAJ0EAABkcnMvZG93bnJldi54bWxQSwUGAAAAAAQABADzAAAAqAUA&#10;AAAA&#10;">
                <v:stroke endarrow="block"/>
              </v:shape>
            </w:pict>
          </mc:Fallback>
        </mc:AlternateContent>
      </w:r>
      <w:r w:rsidR="00725CC7">
        <w:rPr>
          <w:noProof/>
          <w:lang w:eastAsia="en-AU"/>
        </w:rPr>
        <mc:AlternateContent>
          <mc:Choice Requires="wps">
            <w:drawing>
              <wp:anchor distT="0" distB="0" distL="114300" distR="114300" simplePos="0" relativeHeight="251834368" behindDoc="0" locked="0" layoutInCell="1" allowOverlap="1">
                <wp:simplePos x="0" y="0"/>
                <wp:positionH relativeFrom="column">
                  <wp:posOffset>2813685</wp:posOffset>
                </wp:positionH>
                <wp:positionV relativeFrom="paragraph">
                  <wp:posOffset>153035</wp:posOffset>
                </wp:positionV>
                <wp:extent cx="19050" cy="128905"/>
                <wp:effectExtent l="32385" t="29210" r="53340" b="13335"/>
                <wp:wrapNone/>
                <wp:docPr id="9"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221.55pt;margin-top:12.05pt;width:1.5pt;height:10.1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cPAIAAGwEAAAOAAAAZHJzL2Uyb0RvYy54bWysVE2P2yAQvVfqf0DcE3802SZWnNXKTnrZ&#10;tpF22zsBbKNiQEDiRFX/eweczTbtparqAx7MfLx58/Dq/tRLdOTWCa1KnE1TjLiimgnVlvjL83ay&#10;wMh5ohiRWvESn7nD9+u3b1aDKXiuOy0ZtwiSKFcMpsSd96ZIEkc73hM31YYrOGy07YmHrW0TZskA&#10;2XuZ5Gl6lwzaMmM15c7B13o8xOuYv2k49Z+bxnGPZIkBm4+rjes+rMl6RYrWEtMJeoFB/gFFT4SC&#10;otdUNfEEHaz4I1UvqNVON35KdZ/ophGUxx6gmyz9rZunjhgeewFynLnS5P5fWvrpuLNIsBIvMVKk&#10;hxE9HLyOlVG+mAeCBuMK8KvUzoYW6Uk9mUdNvzmkdNUR1fLo/nw2EJ2FiOQmJGycgTL74aNm4EOg&#10;QmTr1NgeNVKYryEwJAdG0CmO53wdDz95ROFjtkznMEMKJ1m+gE0sRYqQJcQa6/wHrnsUjBI7b4lo&#10;O19ppUAH2o4VyPHR+YDxNSAEK70VUkY5SIUG4GOezyMkp6Vg4TC4OdvuK2nRkQRBxeeC4sbN6oNi&#10;MVnHCdtcbE+EBBv5yJS3AriTHIdqPWcYSQ53KFgjPKlCRegeAF+sUVPfl+lys9gsZpNZfreZzNK6&#10;njxsq9nkbpu9n9fv6qqqsx8BfDYrOsEYVwH/i76z2d/p53LTRmVeFX4lKrnNHhkFsC/vCDoKIcx+&#10;VNFes/POhu6CJkDS0fly/cKd+XUfvV5/EuufAAAA//8DAFBLAwQUAAYACAAAACEA4MVodN4AAAAJ&#10;AQAADwAAAGRycy9kb3ducmV2LnhtbEyPQU/DMAyF70j8h8hIXBBLV8I0laYTAganaaKMe9aYtlrj&#10;VE22tf8e7wQnP8tPz9/LV6PrxAmH0HrSMJ8lIJAqb1uqNey+1vdLECEasqbzhBomDLAqrq9yk1l/&#10;pk88lbEWHEIhMxqaGPtMylA16EyY+R6Jbz9+cCbyOtTSDubM4a6TaZIspDMt8YfG9PjSYHUoj07D&#10;a7l9XH/f7cZ0qj425fvysKXpTevbm/H5CUTEMf6Z4YLP6FAw094fyQbRaVDqYc5WDaniyQalFiz2&#10;F6FAFrn836D4BQAA//8DAFBLAQItABQABgAIAAAAIQC2gziS/gAAAOEBAAATAAAAAAAAAAAAAAAA&#10;AAAAAABbQ29udGVudF9UeXBlc10ueG1sUEsBAi0AFAAGAAgAAAAhADj9If/WAAAAlAEAAAsAAAAA&#10;AAAAAAAAAAAALwEAAF9yZWxzLy5yZWxzUEsBAi0AFAAGAAgAAAAhAL+twdw8AgAAbAQAAA4AAAAA&#10;AAAAAAAAAAAALgIAAGRycy9lMm9Eb2MueG1sUEsBAi0AFAAGAAgAAAAhAODFaHTeAAAACQEAAA8A&#10;AAAAAAAAAAAAAAAAlgQAAGRycy9kb3ducmV2LnhtbFBLBQYAAAAABAAEAPMAAAChBQAAAAA=&#10;">
                <v:stroke endarrow="block"/>
              </v:shape>
            </w:pict>
          </mc:Fallback>
        </mc:AlternateContent>
      </w:r>
      <w:r w:rsidR="00725CC7">
        <w:rPr>
          <w:noProof/>
          <w:lang w:eastAsia="en-AU"/>
        </w:rPr>
        <mc:AlternateContent>
          <mc:Choice Requires="wps">
            <w:drawing>
              <wp:anchor distT="0" distB="0" distL="114300" distR="114300" simplePos="0" relativeHeight="251833344" behindDoc="0" locked="0" layoutInCell="1" allowOverlap="1">
                <wp:simplePos x="0" y="0"/>
                <wp:positionH relativeFrom="column">
                  <wp:posOffset>2427605</wp:posOffset>
                </wp:positionH>
                <wp:positionV relativeFrom="paragraph">
                  <wp:posOffset>153035</wp:posOffset>
                </wp:positionV>
                <wp:extent cx="210820" cy="128905"/>
                <wp:effectExtent l="8255" t="57785" r="38100" b="13335"/>
                <wp:wrapNone/>
                <wp:docPr id="7"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91.15pt;margin-top:12.05pt;width:16.6pt;height:10.1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VMPwIAAG0EAAAOAAAAZHJzL2Uyb0RvYy54bWysVE2P2jAQvVfqf7B8h3w0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p8h5Ei&#10;PYzoYe91zIzyWREaNBhXgl+tNjaUSI/q2Txq+s0hpeuOqB2P7i8nA9FZiEhuQsLGGUizHT5pBj4E&#10;MsRuHVvbo1YK8zUEBnDoCDrG8Zyu4+FHjyh8zLN0lsMQKRxl+WyeTmIuUgaYEGys8x+57lEwKuy8&#10;JWLX+VorBULQ9pyCHB6dDyTfAkKw0mshZdSDVGio8HySTyInp6Vg4TC4Obvb1tKiAwmKis+FxY2b&#10;1XvFIljHCVtdbE+EBBv52CpvBTRPchyy9ZxhJDlcomCd6UkVMkL5QPhinUX1fZ7OV7PVrBgV+XQ1&#10;KtKmGT2s62I0XWd3k+ZDU9dN9iOQz4qyE4xxFfi/Cjwr/k5Al6t2luZV4tdGJbfosaNA9vUdSUcl&#10;hOGfZbTV7LSxobogCtB0dL7cv3Bpft1Hr7e/xPInAAAA//8DAFBLAwQUAAYACAAAACEAksS/feAA&#10;AAAJAQAADwAAAGRycy9kb3ducmV2LnhtbEyPwU6DQBCG7ya+w2ZMvBi7QMEQZGmMWj01jbS9b2EE&#10;UnaWsNsW3t7xpLeZzJd/vj9fTaYXFxxdZ0lBuAhAIFW27qhRsN+tH1MQzmuqdW8JFczoYFXc3uQ6&#10;q+2VvvBS+kZwCLlMK2i9HzIpXdWi0W5hByS+fdvRaM/r2Mh61FcON72MguBJGt0Rf2j1gK8tVqfy&#10;bBS8ldtkfXjYT9FcfW7Kj/S0pfldqfu76eUZhMfJ/8Hwq8/qULDT0Z6pdqJXsEyjJaMKojgEwUAc&#10;JgmIIw9xDLLI5f8GxQ8AAAD//wMAUEsBAi0AFAAGAAgAAAAhALaDOJL+AAAA4QEAABMAAAAAAAAA&#10;AAAAAAAAAAAAAFtDb250ZW50X1R5cGVzXS54bWxQSwECLQAUAAYACAAAACEAOP0h/9YAAACUAQAA&#10;CwAAAAAAAAAAAAAAAAAvAQAAX3JlbHMvLnJlbHNQSwECLQAUAAYACAAAACEAQdTVTD8CAABtBAAA&#10;DgAAAAAAAAAAAAAAAAAuAgAAZHJzL2Uyb0RvYy54bWxQSwECLQAUAAYACAAAACEAksS/feAAAAAJ&#10;AQAADwAAAAAAAAAAAAAAAACZBAAAZHJzL2Rvd25yZXYueG1sUEsFBgAAAAAEAAQA8wAAAKYFAAAA&#10;AA==&#10;">
                <v:stroke endarrow="block"/>
              </v:shape>
            </w:pict>
          </mc:Fallback>
        </mc:AlternateContent>
      </w:r>
      <w:r w:rsidR="00725CC7">
        <w:rPr>
          <w:noProof/>
          <w:lang w:eastAsia="en-AU"/>
        </w:rPr>
        <mc:AlternateContent>
          <mc:Choice Requires="wps">
            <w:drawing>
              <wp:anchor distT="0" distB="0" distL="114300" distR="114300" simplePos="0" relativeHeight="251832320" behindDoc="0" locked="0" layoutInCell="1" allowOverlap="1">
                <wp:simplePos x="0" y="0"/>
                <wp:positionH relativeFrom="column">
                  <wp:posOffset>2008505</wp:posOffset>
                </wp:positionH>
                <wp:positionV relativeFrom="paragraph">
                  <wp:posOffset>153035</wp:posOffset>
                </wp:positionV>
                <wp:extent cx="419100" cy="128905"/>
                <wp:effectExtent l="8255" t="57785" r="29845" b="13335"/>
                <wp:wrapNone/>
                <wp:docPr id="6"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58.15pt;margin-top:12.05pt;width:33pt;height:10.1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p/PwIAAG0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aT+V1oUG9cAX6V2tpQIj2pZ/Oo6TeHlK5aovY8ur+cDURnISK5CQkbZyDNrv+kGfgQ&#10;yBC7dWpshxopzNcQGMChI+gUx3O+joefPKLwMc8WWQpDpHCUTeaLdBpzkSLAhGBjnf/IdYeCUWLn&#10;LRH71ldaKRCCtkMKcnx0PpB8CwjBSm+ElFEPUqG+xIvpZBo5OS0FC4fBzdn9rpIWHUlQVHwuLG7c&#10;rD4oFsFaTtj6YnsiJNjIx1Z5K6B5kuOQreMMI8nhEgVroCdVyAjlA+GLNYjq+yJdrOfreT7KJ7P1&#10;KE/revSwqfLRbJN9mNZ3dVXV2Y9APsuLVjDGVeD/KvAs/zsBXa7aIM2rxK+NSm7RY0eB7Os7ko5K&#10;CMMfZLTT7Ly1obogCtB0dL7cv3Bpft1Hr7e/xOonAAAA//8DAFBLAwQUAAYACAAAACEAwj+6aeAA&#10;AAAJAQAADwAAAGRycy9kb3ducmV2LnhtbEyPTU/DMAyG70j8h8hIXBBLv5iqUndCwOA0TXTbPWtN&#10;W61xqibb2n9POMHR9qPXz5uvJt2LC422M4wQLgIQxJWpO24Q9rv1YwrCOsW16g0TwkwWVsXtTa6y&#10;2lz5iy6la4QPYZsphNa5IZPSVi1pZRdmIPa3bzNq5fw4NrIe1dWH615GQbCUWnXsP7RqoNeWqlN5&#10;1ghv5fZpfXjYT9FcfW7Kj/S05fkd8f5uenkG4WhyfzD86nt1KLzT0Zy5tqJHiMNl7FGEKAlBeCBO&#10;I784IiRJArLI5f8GxQ8AAAD//wMAUEsBAi0AFAAGAAgAAAAhALaDOJL+AAAA4QEAABMAAAAAAAAA&#10;AAAAAAAAAAAAAFtDb250ZW50X1R5cGVzXS54bWxQSwECLQAUAAYACAAAACEAOP0h/9YAAACUAQAA&#10;CwAAAAAAAAAAAAAAAAAvAQAAX3JlbHMvLnJlbHNQSwECLQAUAAYACAAAACEAobw6fz8CAABtBAAA&#10;DgAAAAAAAAAAAAAAAAAuAgAAZHJzL2Uyb0RvYy54bWxQSwECLQAUAAYACAAAACEAwj+6aeAAAAAJ&#10;AQAADwAAAAAAAAAAAAAAAACZBAAAZHJzL2Rvd25yZXYueG1sUEsFBgAAAAAEAAQA8wAAAKYFAAAA&#10;AA==&#10;">
                <v:stroke endarrow="block"/>
              </v:shape>
            </w:pict>
          </mc:Fallback>
        </mc:AlternateContent>
      </w:r>
    </w:p>
    <w:p w:rsidR="00A97CD0" w:rsidRDefault="00A97CD0" w:rsidP="00A97CD0">
      <w:pPr>
        <w:rPr>
          <w:b/>
          <w:lang w:val="en-US"/>
        </w:rPr>
      </w:pPr>
      <w:r>
        <w:rPr>
          <w:b/>
          <w:lang w:val="en-US"/>
        </w:rPr>
        <w:t xml:space="preserve">                                                       TARGET   </w:t>
      </w:r>
      <w:proofErr w:type="gramStart"/>
      <w:r>
        <w:rPr>
          <w:b/>
          <w:lang w:val="en-US"/>
        </w:rPr>
        <w:t>QT  ACTION</w:t>
      </w:r>
      <w:proofErr w:type="gramEnd"/>
      <w:r>
        <w:rPr>
          <w:b/>
          <w:lang w:val="en-US"/>
        </w:rPr>
        <w:t xml:space="preserve">  QA   CONTEXT</w:t>
      </w:r>
    </w:p>
    <w:p w:rsidR="00A97CD0" w:rsidRDefault="00A97CD0" w:rsidP="00A97CD0">
      <w:r>
        <w:t xml:space="preserve">The code for a standard </w:t>
      </w:r>
      <w:proofErr w:type="spellStart"/>
      <w:r>
        <w:t>listable</w:t>
      </w:r>
      <w:proofErr w:type="spellEnd"/>
      <w:r>
        <w:t xml:space="preserve"> indication is derived in the following way:</w:t>
      </w:r>
    </w:p>
    <w:p w:rsidR="00A97CD0" w:rsidRDefault="00A97CD0" w:rsidP="00A97CD0">
      <w:pPr>
        <w:rPr>
          <w:b/>
          <w:lang w:val="en-US"/>
        </w:rPr>
      </w:pPr>
      <w:r>
        <w:rPr>
          <w:b/>
          <w:lang w:val="en-US"/>
        </w:rPr>
        <w:t xml:space="preserve">The TARGET determines the first 3 digits </w:t>
      </w:r>
    </w:p>
    <w:p w:rsidR="00A97CD0" w:rsidRDefault="00A97CD0" w:rsidP="00A97CD0">
      <w:r>
        <w:t xml:space="preserve">The TARGET of a </w:t>
      </w:r>
      <w:proofErr w:type="spellStart"/>
      <w:r>
        <w:t>listable</w:t>
      </w:r>
      <w:proofErr w:type="spellEnd"/>
      <w:r>
        <w:t xml:space="preserve"> indication corresponds to the ICD code for a condition. There is unlikely to be a need to define clinical conditions treatable by listed medicines beyond the letter and first two digit classification provided by the ICD. Therefore an indication that refers to the common cold would receive a target code of J00.  For indications that relate to the maintenance of health (health indications), an ICD code will not be available. For these indications the target is coded using the ICD system letter followed by the first two letters of the body part or function referred to in the indication. For example, an indication that refers to healthy bones would generate a target code of </w:t>
      </w:r>
      <w:proofErr w:type="gramStart"/>
      <w:r>
        <w:t>MBO,</w:t>
      </w:r>
      <w:proofErr w:type="gramEnd"/>
      <w:r>
        <w:t xml:space="preserve"> an indication that refers to healthy joints would generate a target code of MJO, while an indication that refers to a healthy heart would generate a target code of IHE.</w:t>
      </w:r>
    </w:p>
    <w:p w:rsidR="00A97CD0" w:rsidRDefault="00A97CD0" w:rsidP="00A97CD0">
      <w:r>
        <w:t>Certain targets are not system or organ specific. Examples include some states of health such as ‘general well being’ and ‘general health’, and some biological factors such as free radicals. In these situations the initial letter code is replaced by a zero and the subsequent two digits take on either the first two letters (if a single word) or the first letter of the first two words (if multiple words) of the target. For example, an indication referring to general well being would receive a target code of 0GW, an indication referring to general health would receive a target code of 0GH, and an indication referring to free radicals would receive a target code of 0FR.</w:t>
      </w:r>
    </w:p>
    <w:p w:rsidR="00A97CD0" w:rsidRDefault="00A97CD0" w:rsidP="00A97CD0">
      <w:pPr>
        <w:rPr>
          <w:b/>
          <w:lang w:val="en-US"/>
        </w:rPr>
      </w:pPr>
      <w:r>
        <w:rPr>
          <w:b/>
          <w:lang w:val="en-US"/>
        </w:rPr>
        <w:t>The TARGET QUALIFIER determines the next 2 digits</w:t>
      </w:r>
    </w:p>
    <w:p w:rsidR="00A97CD0" w:rsidRDefault="00A97CD0" w:rsidP="00A97CD0">
      <w:r>
        <w:t>If a target qualifier is present as a single word the first two letter of the word are recorded. If the target qualifier consists of two words, then the first letter of each word is recorded. If no target qualifier is present, consecutive zeros are recorded.</w:t>
      </w:r>
    </w:p>
    <w:p w:rsidR="00A97CD0" w:rsidRDefault="00A97CD0" w:rsidP="00A97CD0">
      <w:pPr>
        <w:rPr>
          <w:lang w:val="en-US"/>
        </w:rPr>
      </w:pPr>
      <w:r>
        <w:rPr>
          <w:b/>
          <w:lang w:val="en-US"/>
        </w:rPr>
        <w:t>The ACTION determines the next 2 digits</w:t>
      </w:r>
    </w:p>
    <w:p w:rsidR="00A97CD0" w:rsidRDefault="00A97CD0" w:rsidP="00A97CD0">
      <w:r>
        <w:t xml:space="preserve">If an action is present as a single word the first two letter of the word are recorded. If the action consists of two words, then the first letter of each word is recorded. </w:t>
      </w:r>
    </w:p>
    <w:p w:rsidR="00A97CD0" w:rsidRDefault="00A97CD0" w:rsidP="00A97CD0">
      <w:pPr>
        <w:spacing w:before="0" w:after="0" w:line="240" w:lineRule="auto"/>
        <w:rPr>
          <w:b/>
          <w:lang w:val="en-US"/>
        </w:rPr>
      </w:pPr>
      <w:r>
        <w:rPr>
          <w:b/>
          <w:lang w:val="en-US"/>
        </w:rPr>
        <w:br w:type="page"/>
      </w:r>
    </w:p>
    <w:p w:rsidR="00A97CD0" w:rsidRDefault="00A97CD0" w:rsidP="00A97CD0">
      <w:pPr>
        <w:rPr>
          <w:b/>
          <w:lang w:val="en-US"/>
        </w:rPr>
      </w:pPr>
      <w:r>
        <w:rPr>
          <w:b/>
          <w:lang w:val="en-US"/>
        </w:rPr>
        <w:lastRenderedPageBreak/>
        <w:t>The ACTION QUALIFIER determines the next 2 digits</w:t>
      </w:r>
    </w:p>
    <w:p w:rsidR="00A97CD0" w:rsidRDefault="00A97CD0" w:rsidP="00A97CD0">
      <w:r>
        <w:t>If an action qualifier is present as a single word the first two letter of the word are recorded. If the action qualifier consists of two words, then the first letter of each word is recorded. If no target qualifier is present, consecutive zeros are recorded.</w:t>
      </w:r>
    </w:p>
    <w:p w:rsidR="00A97CD0" w:rsidRDefault="00A97CD0" w:rsidP="00A97CD0">
      <w:pPr>
        <w:rPr>
          <w:b/>
          <w:lang w:val="en-US"/>
        </w:rPr>
      </w:pPr>
      <w:r>
        <w:rPr>
          <w:b/>
          <w:lang w:val="en-US"/>
        </w:rPr>
        <w:t>The CONTEXT determines the final 3 digits</w:t>
      </w:r>
    </w:p>
    <w:p w:rsidR="00A97CD0" w:rsidRDefault="00A97CD0" w:rsidP="00A97CD0">
      <w:r>
        <w:t xml:space="preserve">The first of the three digits receives an S if it is a scientific </w:t>
      </w:r>
      <w:proofErr w:type="gramStart"/>
      <w:r>
        <w:t>indication,</w:t>
      </w:r>
      <w:proofErr w:type="gramEnd"/>
      <w:r>
        <w:t xml:space="preserve"> or a T if it’s a traditional indication. Where indications have been sourced from international regulators and the nature of the indication is unclear N has been used. The final two digits are determined by the presence of any additional contextual information. For traditional indication this will be letters representative of the traditional paradigm. For scientific indications, additional contextual information is likely to relate to restrictions on target population. If there is no additional contextual information, the last two digits will be 00.</w:t>
      </w:r>
    </w:p>
    <w:p w:rsidR="00A97CD0" w:rsidRDefault="00A97CD0" w:rsidP="00A97CD0">
      <w:pPr>
        <w:rPr>
          <w:b/>
          <w:lang w:val="en-US"/>
        </w:rPr>
      </w:pPr>
      <w:proofErr w:type="spellStart"/>
      <w:proofErr w:type="gramStart"/>
      <w:r>
        <w:rPr>
          <w:b/>
          <w:lang w:val="en-US"/>
        </w:rPr>
        <w:t>Eg</w:t>
      </w:r>
      <w:proofErr w:type="spellEnd"/>
      <w:r>
        <w:rPr>
          <w:b/>
          <w:lang w:val="en-US"/>
        </w:rPr>
        <w:t>.</w:t>
      </w:r>
      <w:proofErr w:type="gramEnd"/>
      <w:r>
        <w:rPr>
          <w:b/>
          <w:lang w:val="en-US"/>
        </w:rPr>
        <w:t xml:space="preserve"> Used traditionally in herbal medicine to relieve symptoms of the common cold</w:t>
      </w:r>
    </w:p>
    <w:p w:rsidR="00A97CD0" w:rsidRDefault="00A97CD0" w:rsidP="00A97CD0">
      <w:pPr>
        <w:rPr>
          <w:b/>
          <w:lang w:val="en-US"/>
        </w:rPr>
      </w:pPr>
      <w:r>
        <w:rPr>
          <w:b/>
          <w:lang w:val="en-US"/>
        </w:rPr>
        <w:t>Indication code: J00.SY.RE.00.THM</w:t>
      </w:r>
    </w:p>
    <w:p w:rsidR="00A97CD0" w:rsidRDefault="00A97CD0" w:rsidP="00A97CD0">
      <w:pPr>
        <w:rPr>
          <w:b/>
          <w:lang w:val="en-US"/>
        </w:rPr>
      </w:pPr>
      <w:proofErr w:type="spellStart"/>
      <w:proofErr w:type="gramStart"/>
      <w:r>
        <w:rPr>
          <w:b/>
          <w:lang w:val="en-US"/>
        </w:rPr>
        <w:t>Eg</w:t>
      </w:r>
      <w:proofErr w:type="spellEnd"/>
      <w:r>
        <w:rPr>
          <w:b/>
          <w:lang w:val="en-US"/>
        </w:rPr>
        <w:t>.</w:t>
      </w:r>
      <w:proofErr w:type="gramEnd"/>
      <w:r>
        <w:rPr>
          <w:b/>
          <w:lang w:val="en-US"/>
        </w:rPr>
        <w:t xml:space="preserve"> For the maintenance of a healthy cardiovascular system</w:t>
      </w:r>
    </w:p>
    <w:p w:rsidR="00A97CD0" w:rsidRDefault="00A97CD0" w:rsidP="00A97CD0">
      <w:pPr>
        <w:rPr>
          <w:b/>
          <w:lang w:val="en-US"/>
        </w:rPr>
      </w:pPr>
      <w:r>
        <w:rPr>
          <w:b/>
          <w:lang w:val="en-US"/>
        </w:rPr>
        <w:t>Indication code: ICV.HE.MA.00.S00</w:t>
      </w:r>
    </w:p>
    <w:p w:rsidR="00A97CD0" w:rsidRDefault="00A97CD0" w:rsidP="00A97CD0">
      <w:pPr>
        <w:rPr>
          <w:lang w:val="en-US"/>
        </w:rPr>
      </w:pPr>
      <w:r>
        <w:rPr>
          <w:lang w:val="en-US"/>
        </w:rPr>
        <w:t xml:space="preserve">In some cases the action and target may be combined into a single word </w:t>
      </w:r>
      <w:proofErr w:type="spellStart"/>
      <w:r>
        <w:rPr>
          <w:lang w:val="en-US"/>
        </w:rPr>
        <w:t>eg</w:t>
      </w:r>
      <w:proofErr w:type="spellEnd"/>
      <w:r>
        <w:rPr>
          <w:lang w:val="en-US"/>
        </w:rPr>
        <w:t xml:space="preserve"> ‘anti-oxidant, or ‘</w:t>
      </w:r>
      <w:proofErr w:type="spellStart"/>
      <w:r>
        <w:rPr>
          <w:lang w:val="en-US"/>
        </w:rPr>
        <w:t>vermifuge</w:t>
      </w:r>
      <w:proofErr w:type="spellEnd"/>
      <w:r>
        <w:rPr>
          <w:lang w:val="en-US"/>
        </w:rPr>
        <w:t>’. In these cases, the word is coded as the target.</w:t>
      </w:r>
    </w:p>
    <w:p w:rsidR="00A97CD0" w:rsidRDefault="00A97CD0" w:rsidP="00A97CD0">
      <w:pPr>
        <w:rPr>
          <w:b/>
          <w:lang w:val="en-US"/>
        </w:rPr>
      </w:pPr>
      <w:proofErr w:type="spellStart"/>
      <w:proofErr w:type="gramStart"/>
      <w:r>
        <w:rPr>
          <w:b/>
          <w:lang w:val="en-US"/>
        </w:rPr>
        <w:t>Eg</w:t>
      </w:r>
      <w:proofErr w:type="spellEnd"/>
      <w:r>
        <w:rPr>
          <w:b/>
          <w:lang w:val="en-US"/>
        </w:rPr>
        <w:t>.</w:t>
      </w:r>
      <w:proofErr w:type="gramEnd"/>
      <w:r>
        <w:rPr>
          <w:b/>
          <w:lang w:val="en-US"/>
        </w:rPr>
        <w:t xml:space="preserve"> Acts as an antioxidant </w:t>
      </w:r>
    </w:p>
    <w:p w:rsidR="00A97CD0" w:rsidRDefault="00A97CD0" w:rsidP="00A97CD0">
      <w:pPr>
        <w:rPr>
          <w:b/>
          <w:lang w:val="en-US"/>
        </w:rPr>
      </w:pPr>
      <w:r>
        <w:rPr>
          <w:b/>
          <w:lang w:val="en-US"/>
        </w:rPr>
        <w:t>Indication code: 0AO.00.AC.00.S00</w:t>
      </w:r>
    </w:p>
    <w:p w:rsidR="00A97CD0" w:rsidRDefault="00A97CD0" w:rsidP="00A97CD0">
      <w:pPr>
        <w:rPr>
          <w:b/>
          <w:lang w:val="en-US"/>
        </w:rPr>
      </w:pPr>
      <w:proofErr w:type="spellStart"/>
      <w:proofErr w:type="gramStart"/>
      <w:r>
        <w:rPr>
          <w:b/>
          <w:lang w:val="en-US"/>
        </w:rPr>
        <w:t>Eg</w:t>
      </w:r>
      <w:proofErr w:type="spellEnd"/>
      <w:r>
        <w:rPr>
          <w:b/>
          <w:lang w:val="en-US"/>
        </w:rPr>
        <w:t>.</w:t>
      </w:r>
      <w:proofErr w:type="gramEnd"/>
      <w:r>
        <w:rPr>
          <w:b/>
          <w:lang w:val="en-US"/>
        </w:rPr>
        <w:t xml:space="preserve"> Used traditionally in herbal medicine as a </w:t>
      </w:r>
      <w:proofErr w:type="spellStart"/>
      <w:r>
        <w:rPr>
          <w:b/>
          <w:lang w:val="en-US"/>
        </w:rPr>
        <w:t>vermifuge</w:t>
      </w:r>
      <w:proofErr w:type="spellEnd"/>
    </w:p>
    <w:p w:rsidR="00A97CD0" w:rsidRDefault="00A97CD0" w:rsidP="00A97CD0">
      <w:pPr>
        <w:rPr>
          <w:b/>
          <w:lang w:val="en-US"/>
        </w:rPr>
      </w:pPr>
      <w:r>
        <w:rPr>
          <w:b/>
          <w:lang w:val="en-US"/>
        </w:rPr>
        <w:t>Indication code= BVE.00.US.00.THM</w:t>
      </w:r>
    </w:p>
    <w:p w:rsidR="00A97CD0" w:rsidRDefault="00A97CD0" w:rsidP="00A97CD0">
      <w:r>
        <w:t>There are occasions where action, target or qualifying terms contain the same first two letters and cannot be accurately coded using the above formula. The following table provides guidance regarding codes used for certain common terms.</w:t>
      </w:r>
    </w:p>
    <w:tbl>
      <w:tblPr>
        <w:tblW w:w="8647" w:type="dxa"/>
        <w:tblInd w:w="-34" w:type="dxa"/>
        <w:tblLook w:val="04A0" w:firstRow="1" w:lastRow="0" w:firstColumn="1" w:lastColumn="0" w:noHBand="0" w:noVBand="1"/>
      </w:tblPr>
      <w:tblGrid>
        <w:gridCol w:w="1746"/>
        <w:gridCol w:w="1798"/>
        <w:gridCol w:w="1560"/>
        <w:gridCol w:w="1417"/>
        <w:gridCol w:w="2126"/>
      </w:tblGrid>
      <w:tr w:rsidR="00A97CD0" w:rsidTr="00A97CD0">
        <w:trPr>
          <w:trHeight w:val="55"/>
          <w:tblHeader/>
        </w:trPr>
        <w:tc>
          <w:tcPr>
            <w:tcW w:w="1746" w:type="dxa"/>
            <w:tcBorders>
              <w:top w:val="single" w:sz="8" w:space="0" w:color="auto"/>
              <w:left w:val="single" w:sz="8" w:space="0" w:color="auto"/>
              <w:bottom w:val="single" w:sz="4" w:space="0" w:color="auto"/>
              <w:right w:val="single" w:sz="8" w:space="0" w:color="auto"/>
            </w:tcBorders>
            <w:shd w:val="clear" w:color="auto" w:fill="C6D9F1"/>
            <w:vAlign w:val="center"/>
            <w:hideMark/>
          </w:tcPr>
          <w:p w:rsidR="00A97CD0" w:rsidRDefault="00A97CD0">
            <w:pPr>
              <w:spacing w:line="240" w:lineRule="auto"/>
              <w:rPr>
                <w:rFonts w:ascii="Arial Narrow" w:hAnsi="Arial Narrow"/>
                <w:b/>
                <w:lang w:eastAsia="en-AU"/>
              </w:rPr>
            </w:pPr>
            <w:r>
              <w:rPr>
                <w:rFonts w:ascii="Arial Narrow" w:hAnsi="Arial Narrow"/>
                <w:b/>
                <w:lang w:eastAsia="en-AU"/>
              </w:rPr>
              <w:t>Target</w:t>
            </w:r>
          </w:p>
        </w:tc>
        <w:tc>
          <w:tcPr>
            <w:tcW w:w="1798" w:type="dxa"/>
            <w:tcBorders>
              <w:top w:val="single" w:sz="8" w:space="0" w:color="auto"/>
              <w:left w:val="nil"/>
              <w:bottom w:val="single" w:sz="4" w:space="0" w:color="auto"/>
              <w:right w:val="single" w:sz="8" w:space="0" w:color="auto"/>
            </w:tcBorders>
            <w:shd w:val="clear" w:color="auto" w:fill="C6D9F1"/>
            <w:vAlign w:val="center"/>
            <w:hideMark/>
          </w:tcPr>
          <w:p w:rsidR="00A97CD0" w:rsidRDefault="00A97CD0">
            <w:pPr>
              <w:spacing w:line="240" w:lineRule="auto"/>
              <w:rPr>
                <w:rFonts w:ascii="Arial Narrow" w:hAnsi="Arial Narrow"/>
                <w:b/>
                <w:lang w:eastAsia="en-AU"/>
              </w:rPr>
            </w:pPr>
            <w:r>
              <w:rPr>
                <w:rFonts w:ascii="Arial Narrow" w:hAnsi="Arial Narrow"/>
                <w:b/>
                <w:lang w:eastAsia="en-AU"/>
              </w:rPr>
              <w:t>QT</w:t>
            </w:r>
          </w:p>
        </w:tc>
        <w:tc>
          <w:tcPr>
            <w:tcW w:w="1560" w:type="dxa"/>
            <w:tcBorders>
              <w:top w:val="single" w:sz="8" w:space="0" w:color="auto"/>
              <w:left w:val="nil"/>
              <w:bottom w:val="single" w:sz="4" w:space="0" w:color="auto"/>
              <w:right w:val="single" w:sz="8" w:space="0" w:color="auto"/>
            </w:tcBorders>
            <w:shd w:val="clear" w:color="auto" w:fill="C6D9F1"/>
            <w:vAlign w:val="center"/>
            <w:hideMark/>
          </w:tcPr>
          <w:p w:rsidR="00A97CD0" w:rsidRDefault="00A97CD0">
            <w:pPr>
              <w:spacing w:line="240" w:lineRule="auto"/>
              <w:rPr>
                <w:rFonts w:ascii="Arial Narrow" w:hAnsi="Arial Narrow"/>
                <w:b/>
                <w:lang w:eastAsia="en-AU"/>
              </w:rPr>
            </w:pPr>
            <w:r>
              <w:rPr>
                <w:rFonts w:ascii="Arial Narrow" w:hAnsi="Arial Narrow"/>
                <w:b/>
                <w:lang w:eastAsia="en-AU"/>
              </w:rPr>
              <w:t>Action</w:t>
            </w:r>
          </w:p>
        </w:tc>
        <w:tc>
          <w:tcPr>
            <w:tcW w:w="1417" w:type="dxa"/>
            <w:tcBorders>
              <w:top w:val="single" w:sz="8" w:space="0" w:color="auto"/>
              <w:left w:val="nil"/>
              <w:bottom w:val="single" w:sz="4" w:space="0" w:color="auto"/>
              <w:right w:val="single" w:sz="4" w:space="0" w:color="auto"/>
            </w:tcBorders>
            <w:shd w:val="clear" w:color="auto" w:fill="C6D9F1"/>
            <w:vAlign w:val="center"/>
            <w:hideMark/>
          </w:tcPr>
          <w:p w:rsidR="00A97CD0" w:rsidRDefault="00A97CD0">
            <w:pPr>
              <w:spacing w:line="240" w:lineRule="auto"/>
              <w:rPr>
                <w:rFonts w:ascii="Arial Narrow" w:hAnsi="Arial Narrow"/>
                <w:b/>
                <w:lang w:eastAsia="en-AU"/>
              </w:rPr>
            </w:pPr>
            <w:r>
              <w:rPr>
                <w:rFonts w:ascii="Arial Narrow" w:hAnsi="Arial Narrow"/>
                <w:b/>
                <w:lang w:eastAsia="en-AU"/>
              </w:rPr>
              <w:t>QA</w:t>
            </w:r>
          </w:p>
        </w:tc>
        <w:tc>
          <w:tcPr>
            <w:tcW w:w="212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97CD0" w:rsidRDefault="00A97CD0">
            <w:pPr>
              <w:spacing w:line="240" w:lineRule="auto"/>
              <w:rPr>
                <w:rFonts w:ascii="Arial Narrow" w:hAnsi="Arial Narrow"/>
                <w:b/>
                <w:lang w:eastAsia="en-AU"/>
              </w:rPr>
            </w:pPr>
            <w:r>
              <w:rPr>
                <w:rFonts w:ascii="Arial Narrow" w:hAnsi="Arial Narrow"/>
                <w:b/>
                <w:lang w:eastAsia="en-AU"/>
              </w:rPr>
              <w:t>Context</w:t>
            </w:r>
          </w:p>
        </w:tc>
      </w:tr>
      <w:tr w:rsidR="00A97CD0" w:rsidTr="00A97CD0">
        <w:trPr>
          <w:trHeight w:val="65"/>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0WH – wound healing</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CO – conditions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AI – aid(s)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AI – aids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proofErr w:type="spellStart"/>
            <w:r>
              <w:rPr>
                <w:rFonts w:ascii="Arial Narrow" w:hAnsi="Arial Narrow"/>
                <w:sz w:val="20"/>
                <w:szCs w:val="20"/>
                <w:lang w:eastAsia="en-AU"/>
              </w:rPr>
              <w:t>xPM</w:t>
            </w:r>
            <w:proofErr w:type="spellEnd"/>
            <w:r>
              <w:rPr>
                <w:rFonts w:ascii="Arial Narrow" w:hAnsi="Arial Narrow"/>
                <w:sz w:val="20"/>
                <w:szCs w:val="20"/>
                <w:lang w:eastAsia="en-AU"/>
              </w:rPr>
              <w:t xml:space="preserve"> – post menopausal women for ‘x’ context’</w:t>
            </w:r>
          </w:p>
        </w:tc>
      </w:tr>
      <w:tr w:rsidR="00A97CD0" w:rsidTr="00A97CD0">
        <w:trPr>
          <w:trHeight w:val="65"/>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0SL – sleep [not disorder]</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AS – astringent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PR – promote(s)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AS – assists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proofErr w:type="spellStart"/>
            <w:r>
              <w:rPr>
                <w:rFonts w:ascii="Arial Narrow" w:hAnsi="Arial Narrow"/>
                <w:sz w:val="20"/>
                <w:szCs w:val="20"/>
                <w:lang w:eastAsia="en-AU"/>
              </w:rPr>
              <w:t>xPW</w:t>
            </w:r>
            <w:proofErr w:type="spellEnd"/>
            <w:r>
              <w:rPr>
                <w:rFonts w:ascii="Arial Narrow" w:hAnsi="Arial Narrow"/>
                <w:sz w:val="20"/>
                <w:szCs w:val="20"/>
                <w:lang w:eastAsia="en-AU"/>
              </w:rPr>
              <w:t xml:space="preserve"> – pregnant women for ‘x’ context</w:t>
            </w:r>
          </w:p>
        </w:tc>
      </w:tr>
      <w:tr w:rsidR="00A97CD0" w:rsidTr="00A97CD0">
        <w:trPr>
          <w:trHeight w:val="65"/>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0MU – muscle – non-specific</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CC – associated with common cold/ cough and cold</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SP – suppress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HE – helps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65"/>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ECB – carbohydrates</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DE - demulcent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RT – resets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ST – short term</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65"/>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0AS – astringent</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DY – associated with dyspepsia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MA – maintain(s)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65"/>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lastRenderedPageBreak/>
              <w:t>0HE – health</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FU – function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TR – treatment; treats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0EY – energy</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GO – good</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RE – relieves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65"/>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0AN – analgesic</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HE – healthy</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ST – stimulate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DRC – red blood cells</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MA – maintains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SB – stabilise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DIF – immune function</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MB – mood imbalance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SN – strengthen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ECA – calcium</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MG – management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RS – restores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6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0AN - antiseptic</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MI – mild/minor</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RD – reduces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6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0EN – enzyme</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SY – associated symptoms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PD – production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0TI – tissue, non-specific</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US – used 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SU – supports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EFA – fat</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TO – tonic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RG – regulates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EPR – protein</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 xml:space="preserve">PV – prevents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sz w:val="20"/>
                <w:szCs w:val="20"/>
                <w:lang w:eastAsia="en-AU"/>
              </w:rPr>
            </w:pPr>
            <w:r>
              <w:rPr>
                <w:rFonts w:ascii="Arial Narrow" w:hAnsi="Arial Narrow"/>
                <w:sz w:val="20"/>
                <w:szCs w:val="20"/>
                <w:lang w:eastAsia="en-AU"/>
              </w:rPr>
              <w:t>GSD – sleep disturbance</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KDD – digestive disturbances</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KTE – teeth [not disorder]</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MBO – bones [ not disorder]</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REX – expectorant</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proofErr w:type="spellStart"/>
            <w:r>
              <w:rPr>
                <w:rFonts w:ascii="Arial Narrow" w:hAnsi="Arial Narrow" w:cstheme="majorHAnsi"/>
                <w:sz w:val="20"/>
                <w:szCs w:val="20"/>
                <w:lang w:eastAsia="en-AU"/>
              </w:rPr>
              <w:t>xIN</w:t>
            </w:r>
            <w:proofErr w:type="spellEnd"/>
            <w:r>
              <w:rPr>
                <w:rFonts w:ascii="Arial Narrow" w:hAnsi="Arial Narrow" w:cstheme="majorHAnsi"/>
                <w:sz w:val="20"/>
                <w:szCs w:val="20"/>
                <w:lang w:eastAsia="en-AU"/>
              </w:rPr>
              <w:t xml:space="preserve"> – inflammation of ‘x’ system</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proofErr w:type="spellStart"/>
            <w:r>
              <w:rPr>
                <w:rFonts w:ascii="Arial Narrow" w:hAnsi="Arial Narrow" w:cstheme="majorHAnsi"/>
                <w:sz w:val="20"/>
                <w:szCs w:val="20"/>
                <w:lang w:eastAsia="en-AU"/>
              </w:rPr>
              <w:t>xTO</w:t>
            </w:r>
            <w:proofErr w:type="spellEnd"/>
            <w:r>
              <w:rPr>
                <w:rFonts w:ascii="Arial Narrow" w:hAnsi="Arial Narrow" w:cstheme="majorHAnsi"/>
                <w:sz w:val="20"/>
                <w:szCs w:val="20"/>
                <w:lang w:eastAsia="en-AU"/>
              </w:rPr>
              <w:t xml:space="preserve"> – tonic for ‘x’ system</w:t>
            </w:r>
          </w:p>
        </w:tc>
        <w:tc>
          <w:tcPr>
            <w:tcW w:w="1798"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lastRenderedPageBreak/>
              <w:t xml:space="preserve">IAR – </w:t>
            </w:r>
            <w:proofErr w:type="spellStart"/>
            <w:r>
              <w:rPr>
                <w:rFonts w:ascii="Arial Narrow" w:hAnsi="Arial Narrow" w:cstheme="majorHAnsi"/>
                <w:sz w:val="20"/>
                <w:szCs w:val="20"/>
                <w:lang w:eastAsia="en-AU"/>
              </w:rPr>
              <w:t>artieries</w:t>
            </w:r>
            <w:proofErr w:type="spellEnd"/>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HEY – eyes</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HFU – eye function</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EGM – glucose metabolism</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0GL – glucose levels</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KSP – gastrointestinal spasms</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6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KGC  - Gastrointestinal complaints</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JCC – Coughs and colds</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r w:rsidR="00A97CD0" w:rsidTr="00A97CD0">
        <w:trPr>
          <w:trHeight w:val="300"/>
        </w:trPr>
        <w:tc>
          <w:tcPr>
            <w:tcW w:w="1746" w:type="dxa"/>
            <w:tcBorders>
              <w:top w:val="single" w:sz="4" w:space="0" w:color="auto"/>
              <w:left w:val="single" w:sz="4" w:space="0" w:color="auto"/>
              <w:bottom w:val="single" w:sz="4" w:space="0" w:color="auto"/>
              <w:right w:val="single" w:sz="4" w:space="0" w:color="auto"/>
            </w:tcBorders>
            <w:vAlign w:val="center"/>
            <w:hideMark/>
          </w:tcPr>
          <w:p w:rsidR="00A97CD0" w:rsidRDefault="00A97CD0">
            <w:pPr>
              <w:spacing w:line="240" w:lineRule="auto"/>
              <w:rPr>
                <w:rFonts w:ascii="Arial Narrow" w:hAnsi="Arial Narrow" w:cstheme="majorHAnsi"/>
                <w:sz w:val="20"/>
                <w:szCs w:val="20"/>
                <w:lang w:eastAsia="en-AU"/>
              </w:rPr>
            </w:pPr>
            <w:r>
              <w:rPr>
                <w:rFonts w:ascii="Arial Narrow" w:hAnsi="Arial Narrow" w:cstheme="majorHAnsi"/>
                <w:sz w:val="20"/>
                <w:szCs w:val="20"/>
                <w:lang w:eastAsia="en-AU"/>
              </w:rPr>
              <w:t>KMM – mucous membranes</w:t>
            </w:r>
          </w:p>
        </w:tc>
        <w:tc>
          <w:tcPr>
            <w:tcW w:w="1798"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97CD0" w:rsidRDefault="00A97CD0">
            <w:pPr>
              <w:spacing w:before="0" w:after="0" w:line="240" w:lineRule="auto"/>
              <w:rPr>
                <w:sz w:val="20"/>
                <w:szCs w:val="20"/>
                <w:lang w:eastAsia="en-AU"/>
              </w:rPr>
            </w:pPr>
          </w:p>
        </w:tc>
      </w:tr>
    </w:tbl>
    <w:p w:rsidR="00A97CD0" w:rsidRDefault="00A97CD0" w:rsidP="00A97CD0">
      <w:pPr>
        <w:pStyle w:val="Heading2"/>
      </w:pPr>
      <w:bookmarkStart w:id="14" w:name="_Toc331689834"/>
      <w:r>
        <w:t>5. The relationship between standard indications included on the ARTG &amp; statements included on product labels</w:t>
      </w:r>
      <w:bookmarkEnd w:id="14"/>
    </w:p>
    <w:p w:rsidR="00A97CD0" w:rsidRDefault="00725CC7" w:rsidP="00A97CD0">
      <w:pPr>
        <w:spacing w:before="0"/>
      </w:pPr>
      <w:r>
        <w:rPr>
          <w:noProof/>
          <w:lang w:eastAsia="en-AU"/>
        </w:rPr>
        <mc:AlternateContent>
          <mc:Choice Requires="wps">
            <w:drawing>
              <wp:anchor distT="0" distB="0" distL="114300" distR="114300" simplePos="0" relativeHeight="251837440" behindDoc="0" locked="0" layoutInCell="1" allowOverlap="1" wp14:anchorId="02AD16DA" wp14:editId="45524990">
                <wp:simplePos x="0" y="0"/>
                <wp:positionH relativeFrom="column">
                  <wp:posOffset>4074795</wp:posOffset>
                </wp:positionH>
                <wp:positionV relativeFrom="paragraph">
                  <wp:posOffset>283845</wp:posOffset>
                </wp:positionV>
                <wp:extent cx="1257300" cy="579755"/>
                <wp:effectExtent l="0" t="0" r="1905" b="3175"/>
                <wp:wrapNone/>
                <wp:docPr id="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rFonts w:ascii="Arial Narrow" w:hAnsi="Arial Narrow"/>
                                <w:sz w:val="20"/>
                                <w:szCs w:val="20"/>
                              </w:rPr>
                            </w:pPr>
                            <w:r>
                              <w:rPr>
                                <w:rFonts w:ascii="Arial Narrow" w:hAnsi="Arial Narrow"/>
                                <w:sz w:val="20"/>
                                <w:szCs w:val="20"/>
                              </w:rPr>
                              <w:t>REPRESENTATIONS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53" type="#_x0000_t202" style="position:absolute;margin-left:320.85pt;margin-top:22.35pt;width:99pt;height:45.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5cug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kFSWLqMw4qA7f7ARz1BAbos+WqhjtRfVWIi1VL+JbeSCnGlpIa8vPNTffs&#10;6oyjDMhm/CBqCER2WligqZG9KR6UAwE69Onx1BuTTGVCBlF86YGpAlsUp3EU2RAkO94epNLvqOiR&#10;WeRYQu8tOtnfKW2yIdnRxQTjomRdZ/vf8WcH4DifQGy4amwmC9vOH6mXrpN1EjphsFg7oVcUzk25&#10;Cp1F6cdRcVmsVoX/08T1w6xldU25CXOUlh/+WesOIp9FcRKXEh2rDZxJScntZtVJtCcg7dJ+h4Kc&#10;ubnP07BFAC4vKPlB6N0GqVMuktgJyzBy0thLHM9Pb9OFF6ZhUT6ndMc4/XdKaMxxGgXRLKbfcvPs&#10;95obyXqmYXh0rM9xcnIimZHgmte2tZqwbl6flcKk/1QKaPex0VawRqOzWvW0mezb8BcmvFHzRtSP&#10;IGEpQGEgRph8sGiF/I7RCFMkx+rbjkiKUfeewzNI/TA0Y8duwigOYCPPLZtzC+EVQOVYYzQvV3oe&#10;VbtBsm0LkeaHx8UNPJ2GWVU/ZXV4cDApLLnDVDOj6HxvvZ5m7/IXAAAA//8DAFBLAwQUAAYACAAA&#10;ACEAyu5Wxt4AAAAKAQAADwAAAGRycy9kb3ducmV2LnhtbEyPwU7DMAyG70h7h8iTuLFkWylbaToh&#10;EFfQBpvELWu8tlrjVE22lrfHnOBkW/70+3O+GV0rrtiHxpOG+UyBQCq9bajS8PnxercCEaIha1pP&#10;qOEbA2yKyU1uMusH2uJ1FyvBIRQyo6GOscukDGWNzoSZ75B4d/K9M5HHvpK2NwOHu1YulEqlMw3x&#10;hdp0+Fxjed5dnIb92+nrkKj36sXdd4MflSS3llrfTsenRxARx/gHw68+q0PBTkd/IRtEqyFN5g+M&#10;akgSrgyslmtujkwuUwWyyOX/F4ofAAAA//8DAFBLAQItABQABgAIAAAAIQC2gziS/gAAAOEBAAAT&#10;AAAAAAAAAAAAAAAAAAAAAABbQ29udGVudF9UeXBlc10ueG1sUEsBAi0AFAAGAAgAAAAhADj9If/W&#10;AAAAlAEAAAsAAAAAAAAAAAAAAAAALwEAAF9yZWxzLy5yZWxzUEsBAi0AFAAGAAgAAAAhABih7ly6&#10;AgAAwwUAAA4AAAAAAAAAAAAAAAAALgIAAGRycy9lMm9Eb2MueG1sUEsBAi0AFAAGAAgAAAAhAMru&#10;VsbeAAAACgEAAA8AAAAAAAAAAAAAAAAAFAUAAGRycy9kb3ducmV2LnhtbFBLBQYAAAAABAAEAPMA&#10;AAAfBgAAAAA=&#10;" filled="f" stroked="f">
                <v:textbox>
                  <w:txbxContent>
                    <w:p w:rsidR="00FD507B" w:rsidRDefault="00FD507B" w:rsidP="00A97CD0">
                      <w:pPr>
                        <w:rPr>
                          <w:rFonts w:ascii="Arial Narrow" w:hAnsi="Arial Narrow"/>
                          <w:sz w:val="20"/>
                          <w:szCs w:val="20"/>
                        </w:rPr>
                      </w:pPr>
                      <w:r>
                        <w:rPr>
                          <w:rFonts w:ascii="Arial Narrow" w:hAnsi="Arial Narrow"/>
                          <w:sz w:val="20"/>
                          <w:szCs w:val="20"/>
                        </w:rPr>
                        <w:t>REPRESENTATIONS</w:t>
                      </w:r>
                    </w:p>
                  </w:txbxContent>
                </v:textbox>
              </v:shape>
            </w:pict>
          </mc:Fallback>
        </mc:AlternateContent>
      </w:r>
      <w:r>
        <w:rPr>
          <w:noProof/>
          <w:lang w:eastAsia="en-AU"/>
        </w:rPr>
        <mc:AlternateContent>
          <mc:Choice Requires="wpg">
            <w:drawing>
              <wp:anchor distT="0" distB="0" distL="114300" distR="114300" simplePos="0" relativeHeight="251838464" behindDoc="0" locked="0" layoutInCell="1" allowOverlap="1" wp14:anchorId="00DD0524" wp14:editId="3A1AE8CE">
                <wp:simplePos x="0" y="0"/>
                <wp:positionH relativeFrom="column">
                  <wp:posOffset>4272280</wp:posOffset>
                </wp:positionH>
                <wp:positionV relativeFrom="paragraph">
                  <wp:posOffset>715645</wp:posOffset>
                </wp:positionV>
                <wp:extent cx="862965" cy="527050"/>
                <wp:effectExtent l="0" t="10795" r="0" b="5080"/>
                <wp:wrapNone/>
                <wp:docPr id="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527050"/>
                          <a:chOff x="8994" y="14745"/>
                          <a:chExt cx="1359" cy="830"/>
                        </a:xfrm>
                      </wpg:grpSpPr>
                      <wps:wsp>
                        <wps:cNvPr id="3" name="Oval 290"/>
                        <wps:cNvSpPr>
                          <a:spLocks noChangeArrowheads="1"/>
                        </wps:cNvSpPr>
                        <wps:spPr bwMode="auto">
                          <a:xfrm>
                            <a:off x="9029" y="14745"/>
                            <a:ext cx="1260" cy="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291"/>
                        <wps:cNvSpPr txBox="1">
                          <a:spLocks noChangeArrowheads="1"/>
                        </wps:cNvSpPr>
                        <wps:spPr bwMode="auto">
                          <a:xfrm>
                            <a:off x="8994" y="14813"/>
                            <a:ext cx="135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07B" w:rsidRDefault="00FD507B" w:rsidP="00A97CD0">
                              <w:pPr>
                                <w:rPr>
                                  <w:rFonts w:ascii="Arial Narrow" w:hAnsi="Arial Narrow"/>
                                  <w:sz w:val="20"/>
                                  <w:szCs w:val="20"/>
                                </w:rPr>
                              </w:pPr>
                              <w:r>
                                <w:rPr>
                                  <w:rFonts w:ascii="Arial Narrow" w:hAnsi="Arial Narrow"/>
                                  <w:sz w:val="20"/>
                                  <w:szCs w:val="20"/>
                                </w:rPr>
                                <w:t>INDICATIONS</w:t>
                              </w:r>
                            </w:p>
                          </w:txbxContent>
                        </wps:txbx>
                        <wps:bodyPr rot="0" vert="horz" wrap="square" lIns="72000" tIns="45720" rIns="72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54" style="position:absolute;margin-left:336.4pt;margin-top:56.35pt;width:67.95pt;height:41.5pt;z-index:251838464" coordorigin="8994,14745" coordsize="135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AbjAMAAMEJAAAOAAAAZHJzL2Uyb0RvYy54bWy8Vttu2zgQfV9g/4Hgu6KLJVsSohSJL0GB&#10;7KZAsx9AS5RErESqJB05W/Tfd0jJsuMmbdGg1YNAcsi5nDkz5OW7fdugRyoVEzzD/oWHEeW5KBiv&#10;MvzPw8aJMVKa8II0gtMMP1GF3139+cdl36U0ELVoCioRKOEq7bsM11p3qeuqvKYtUReioxyEpZAt&#10;0TCVlVtI0oP2tnEDz5u7vZBFJ0VOlYLV1SDEV1Z/WdJc35eloho1GQbftP1L+9+av3t1SdJKkq5m&#10;+egG+QkvWsI4GJ1UrYgmaCfZV6palkuhRKkvctG6oixZTm0MEI3vnUVzK8Wus7FUaV91E0wA7RlO&#10;P602//vxg0SsyHCAESctpMhaRUGcGHD6rkphz63sPnYf5BAhDO9E/q8CsXsuN/Nq2Iy2/V+iAIVk&#10;p4UFZ1/K1qiAsNHe5uBpygHda5TDYjwPknmEUQ6iKFh40ZijvIZEmlNxkoQYgdQPF2E0JDCv1+Nx&#10;fxYlw+F4Zk+6JB3MWldH10xcwDd1hFS9DdKPNemozZQycI2Qzg6Q3j+SBgWJdchYhi0HONWAJeJi&#10;WRNe0WspRV9TUoBHvokO/D45YCYKMvFdcBMvACCew3TA2A/mUAsG4XOQSNpJpW+paJEZZJg2DeuU&#10;CY2k5PFOaePRcZdZVqJhxYY1jZ3IartsJIKAM7yxnw3ibFvDUZ/hJAoiq/l1FZ79XlIBtcEL8Iak&#10;Bq31ONaENcMYvGz4CJ9BbMj5VhRPgJ4UQyeAzgWDWsj/MOqhC2RYfdoRSTFq3nPIQOKHoWkbdhJG&#10;iwAm8lSyPZUQnoOqDGuMhuFSD61m10lW1WDJt+FycQ0lUTILpsno4NXoLNDyN/ET6mgo+QfDjBux&#10;B45azp1QDuk9CA6e/yq2nhR17M+Gop7YOpV0NLOiqaSPPBzZKqHff4uqXBieWtIYbpB0WhjZQlKw&#10;Ciw3MmPftvDPiZes43UcOmEwXzuht1o515tl6Mw3/iJazVbL5cr/Yuz6YVqzoqDcmDlcJ374Y71l&#10;vNiGi2C6UF4vjdeqy33uhq1XiOUsJD8IvZsgcTbzeOGEmzBykoUXO56f3CRzL0zC1eZ5SHeM07eH&#10;9Oayb5mGB0PDWmheU294vQdMGTHuH6GAdB8SbfvrsUHo/XZv70N/YWh4rM4f7hnQJLyXe8Yo+VU9&#10;w95w8E6wYY5vGvMQOZ3D+PTldfU/AAAA//8DAFBLAwQUAAYACAAAACEAF9+LxOEAAAALAQAADwAA&#10;AGRycy9kb3ducmV2LnhtbEyPQUvDQBCF74L/YRnBm90k0ibGbEop6qkItoJ422anSWh2NmS3Sfrv&#10;HU96m5n3ePO9Yj3bTow4+NaRgngRgUCqnGmpVvB5eH3IQPigyejOESq4ood1eXtT6Ny4iT5w3Ida&#10;cAj5XCtoQuhzKX3VoNV+4Xok1k5usDrwOtTSDHricNvJJIpW0uqW+EOje9w2WJ33F6vgbdLT5jF+&#10;GXfn0/b6fVi+f+1iVOr+bt48gwg4hz8z/OIzOpTMdHQXMl50ClZpwuiBhThJQbAjizIejnx5WqYg&#10;y0L+71D+AAAA//8DAFBLAQItABQABgAIAAAAIQC2gziS/gAAAOEBAAATAAAAAAAAAAAAAAAAAAAA&#10;AABbQ29udGVudF9UeXBlc10ueG1sUEsBAi0AFAAGAAgAAAAhADj9If/WAAAAlAEAAAsAAAAAAAAA&#10;AAAAAAAALwEAAF9yZWxzLy5yZWxzUEsBAi0AFAAGAAgAAAAhAPTHUBuMAwAAwQkAAA4AAAAAAAAA&#10;AAAAAAAALgIAAGRycy9lMm9Eb2MueG1sUEsBAi0AFAAGAAgAAAAhABffi8ThAAAACwEAAA8AAAAA&#10;AAAAAAAAAAAA5gUAAGRycy9kb3ducmV2LnhtbFBLBQYAAAAABAAEAPMAAAD0BgAAAAA=&#10;">
                <v:oval id="Oval 290" o:spid="_x0000_s1055" style="position:absolute;left:9029;top:14745;width:1260;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Text Box 291" o:spid="_x0000_s1056" type="#_x0000_t202" style="position:absolute;left:8994;top:14813;width:1359;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x8UA&#10;AADaAAAADwAAAGRycy9kb3ducmV2LnhtbESPUUvDMBSF3wf+h3AF37bUITK7paWIgkMcdAqbb5fm&#10;2hSbm5JkW+evN8LAx8M55zucVTnaXhzJh86xgttZBoK4cbrjVsHH+/N0ASJEZI29Y1JwpgBlcTVZ&#10;Ya7diWs6bmMrEoRDjgpMjEMuZWgMWQwzNxAn78t5izFJ30rt8ZTgtpfzLLuXFjtOCwYHejTUfG8P&#10;VsHu6bzeLPbzHdYPP/71c2PeqqpW6uZ6rJYgIo3xP3xpv2gFd/B3Jd0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97HxQAAANoAAAAPAAAAAAAAAAAAAAAAAJgCAABkcnMv&#10;ZG93bnJldi54bWxQSwUGAAAAAAQABAD1AAAAigMAAAAA&#10;" filled="f" stroked="f">
                  <v:textbox inset="2mm,,2mm">
                    <w:txbxContent>
                      <w:p w:rsidR="00FD507B" w:rsidRDefault="00FD507B" w:rsidP="00A97CD0">
                        <w:pPr>
                          <w:rPr>
                            <w:rFonts w:ascii="Arial Narrow" w:hAnsi="Arial Narrow"/>
                            <w:sz w:val="20"/>
                            <w:szCs w:val="20"/>
                          </w:rPr>
                        </w:pPr>
                        <w:r>
                          <w:rPr>
                            <w:rFonts w:ascii="Arial Narrow" w:hAnsi="Arial Narrow"/>
                            <w:sz w:val="20"/>
                            <w:szCs w:val="20"/>
                          </w:rPr>
                          <w:t>INDICATIONS</w:t>
                        </w:r>
                      </w:p>
                    </w:txbxContent>
                  </v:textbox>
                </v:shape>
              </v:group>
            </w:pict>
          </mc:Fallback>
        </mc:AlternateContent>
      </w:r>
      <w:r>
        <w:rPr>
          <w:noProof/>
          <w:lang w:eastAsia="en-AU"/>
        </w:rPr>
        <mc:AlternateContent>
          <mc:Choice Requires="wps">
            <w:drawing>
              <wp:anchor distT="0" distB="0" distL="114300" distR="114300" simplePos="0" relativeHeight="251839488" behindDoc="1" locked="0" layoutInCell="1" allowOverlap="1" wp14:anchorId="3561FF8E" wp14:editId="0B95ABED">
                <wp:simplePos x="0" y="0"/>
                <wp:positionH relativeFrom="column">
                  <wp:posOffset>4074795</wp:posOffset>
                </wp:positionH>
                <wp:positionV relativeFrom="paragraph">
                  <wp:posOffset>85090</wp:posOffset>
                </wp:positionV>
                <wp:extent cx="1257300" cy="1250950"/>
                <wp:effectExtent l="7620" t="8890" r="11430" b="6985"/>
                <wp:wrapSquare wrapText="bothSides"/>
                <wp:docPr id="1"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0950"/>
                        </a:xfrm>
                        <a:prstGeom prst="ellipse">
                          <a:avLst/>
                        </a:prstGeom>
                        <a:solidFill>
                          <a:srgbClr val="1F497D">
                            <a:alpha val="21001"/>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2" o:spid="_x0000_s1026" style="position:absolute;margin-left:320.85pt;margin-top:6.7pt;width:99pt;height:98.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CALwIAAFEEAAAOAAAAZHJzL2Uyb0RvYy54bWysVNuO0zAQfUfiHyy/01xoWRo1Xa1aipAW&#10;dqWFD5g6TmPh2GbsNi1fz9jpli68IfJgeTwzx3POeLK4PfaaHSR6ZU3Ni0nOmTTCNsrsav7t6+bN&#10;e858ANOAtkbW/CQ9v12+frUYXCVL21ndSGQEYnw1uJp3Ibgqy7zoZA9+Yp005Gwt9hDIxF3WIAyE&#10;3uuszPN32WCxcWiF9J5O16OTLxN+20oRHtrWy8B0zam2kFZM6zau2XIB1Q7BdUqcy4B/qKIHZejS&#10;C9QaArA9qr+geiXQetuGibB9ZttWCZk4EJsi/4PNUwdOJi4kjncXmfz/gxVfDo/IVEO948xATy16&#10;OIBm5byM2gzOVxTy5B4xsvPu3orvnhm76sDs5B2iHToJDVVUxPjsRUI0PKWy7fDZNgQN+2CTTMcW&#10;+whIArBj6sbp0g15DEzQYVHObt7m1DRBPjLy+Sz1K4PqOd2hDx+l7Vnc1FxqrZyPikEFh3sfYkVQ&#10;PUclBlarZqO0TgbutiuNjAjTDZvp/GY95mrXwXhaFnk+MiP2Y3jC9Nc42rCh5vNZOUvpL3znpBEt&#10;T18SiuCuIdDuTZMeY5Tzw3kfQOlxTzS0OesbJR1bs7XNieRFO75rmkPadBZ/cjbQm665/7EHlJzp&#10;T4ZaNC+m0zgEyZjObkoy8NqzvfaAEQRV88DZuF2FcXD2DtWuo5uKRNfYO2prq5LaseVjVedi6d0m&#10;wc4zFgfj2k5Rv/8Ey18AAAD//wMAUEsDBBQABgAIAAAAIQBKjE793QAAAAoBAAAPAAAAZHJzL2Rv&#10;d25yZXYueG1sTI/BToNAEIbvJn2HzZh4swuUVESWxpioJw9gvW/ZEUjZWcpuW/r2Tk/1OPN/+eeb&#10;YjPbQZxw8r0jBfEyAoHUONNTq2D7/f6YgfBBk9GDI1RwQQ+bcnFX6Ny4M1V4qkMruIR8rhV0IYy5&#10;lL7p0Gq/dCMSZ79usjrwOLXSTPrM5XaQSRStpdU98YVOj/jWYbOvj1aBw8+vnyzt648L7X3iXGW2&#10;h0qph/v59QVEwDncYLjqszqU7LRzRzJeDArWafzEKAerFAQD2eqZFzsFSRylIMtC/n+h/AMAAP//&#10;AwBQSwECLQAUAAYACAAAACEAtoM4kv4AAADhAQAAEwAAAAAAAAAAAAAAAAAAAAAAW0NvbnRlbnRf&#10;VHlwZXNdLnhtbFBLAQItABQABgAIAAAAIQA4/SH/1gAAAJQBAAALAAAAAAAAAAAAAAAAAC8BAABf&#10;cmVscy8ucmVsc1BLAQItABQABgAIAAAAIQBvCUCALwIAAFEEAAAOAAAAAAAAAAAAAAAAAC4CAABk&#10;cnMvZTJvRG9jLnhtbFBLAQItABQABgAIAAAAIQBKjE793QAAAAoBAAAPAAAAAAAAAAAAAAAAAIkE&#10;AABkcnMvZG93bnJldi54bWxQSwUGAAAAAAQABADzAAAAkwUAAAAA&#10;" fillcolor="#1f497d">
                <v:fill opacity="13878f"/>
                <w10:wrap type="square"/>
              </v:oval>
            </w:pict>
          </mc:Fallback>
        </mc:AlternateContent>
      </w:r>
      <w:r w:rsidR="00A97CD0">
        <w:t xml:space="preserve">Indications are defined in the Act as the specific therapeutic uses of the goods and are therefore statements that specifically relate to product efficacy. In other words, indications describe the beneficial physiological or health effect of active ingredients contained within the product. </w:t>
      </w:r>
    </w:p>
    <w:p w:rsidR="00A97CD0" w:rsidRDefault="00A97CD0" w:rsidP="00A97CD0">
      <w:r>
        <w:t>Representations are statements that offer a promise to consumers, this may relate to the efficacy (indication representations) or other desirable qualities of a medicine (non-indication representations). Non-indication representations include content representations, such as ‘mercury free’ or ‘contains natural ingredients’, and other factual statements about a medicine, such as ‘rapid acting’, ‘once daily dosing’ and ‘clinically proven.’</w:t>
      </w:r>
    </w:p>
    <w:p w:rsidR="00A97CD0" w:rsidRDefault="00A97CD0" w:rsidP="00A97CD0">
      <w:r>
        <w:lastRenderedPageBreak/>
        <w:t xml:space="preserve">The benefits associated with a medicine (indications) are recorded on the ARTG. The ARTG need not include other properties of the product that may underscore non-indication representations. However, such representations may be included on product labels and may be used to promote the use of a product during advertising campaigns. </w:t>
      </w:r>
    </w:p>
    <w:p w:rsidR="00A97CD0" w:rsidRDefault="00A97CD0" w:rsidP="00A97CD0">
      <w:r>
        <w:t xml:space="preserve">The information on the label of listed medicines indicated for health benefits must provide useful information that assists consumers in making informed choices about self care. </w:t>
      </w:r>
    </w:p>
    <w:p w:rsidR="00A97CD0" w:rsidRDefault="00A97CD0" w:rsidP="00A97CD0">
      <w:r>
        <w:t>The general labelling requirements for medicines regulated in Australia by the TGA are specified in Therapeutic Goods Order No. 69 (TGO 69) – General requirements for labels for medicines (</w:t>
      </w:r>
      <w:hyperlink r:id="rId24" w:history="1">
        <w:r>
          <w:rPr>
            <w:rStyle w:val="Hyperlink"/>
            <w:color w:val="0000FF"/>
          </w:rPr>
          <w:t>http://www.tga.gov.au/docs/html/tgo/tgo69.htm</w:t>
        </w:r>
      </w:hyperlink>
      <w:r>
        <w:t>)</w:t>
      </w:r>
      <w:r>
        <w:rPr>
          <w:rFonts w:asciiTheme="minorHAnsi" w:hAnsiTheme="minorHAnsi"/>
          <w:sz w:val="18"/>
          <w:szCs w:val="18"/>
        </w:rPr>
        <w:t xml:space="preserve"> </w:t>
      </w:r>
      <w:r>
        <w:t>and in the document Required Advisory Statements for Medicine Labels (</w:t>
      </w:r>
      <w:hyperlink r:id="rId25" w:history="1">
        <w:r>
          <w:rPr>
            <w:rStyle w:val="Hyperlink"/>
            <w:color w:val="0000FF"/>
          </w:rPr>
          <w:t>http://www.tga.gov.au/meds/rasml.htm</w:t>
        </w:r>
      </w:hyperlink>
      <w:r>
        <w:t>). All representations on the label that promote the good (including indications, product performance statements, brand names, and promotional images) must comply with the Therapeutic Goods Advertising Code (</w:t>
      </w:r>
      <w:hyperlink r:id="rId26" w:history="1">
        <w:r>
          <w:rPr>
            <w:rStyle w:val="Hyperlink"/>
            <w:color w:val="0000FF"/>
          </w:rPr>
          <w:t>http://www.tga.gov.au/advert/tgac.htm</w:t>
        </w:r>
      </w:hyperlink>
      <w:r>
        <w:rPr>
          <w:rFonts w:asciiTheme="minorHAnsi" w:hAnsiTheme="minorHAnsi"/>
          <w:sz w:val="18"/>
          <w:szCs w:val="18"/>
        </w:rPr>
        <w:t>).</w:t>
      </w:r>
    </w:p>
    <w:p w:rsidR="00A97CD0" w:rsidRDefault="00A97CD0" w:rsidP="00A97CD0">
      <w:pPr>
        <w:rPr>
          <w:rFonts w:asciiTheme="majorHAnsi" w:hAnsiTheme="majorHAnsi"/>
          <w:b/>
        </w:rPr>
      </w:pPr>
      <w:r>
        <w:rPr>
          <w:rFonts w:asciiTheme="majorHAnsi" w:hAnsiTheme="majorHAnsi"/>
          <w:b/>
        </w:rPr>
        <w:t>Indication representations</w:t>
      </w:r>
    </w:p>
    <w:p w:rsidR="00A97CD0" w:rsidRDefault="00A97CD0" w:rsidP="00A97CD0">
      <w:r>
        <w:t>Indication representations are advertising statements. All indication representations for a listed product must be based on indications included on the ARTG. Recall that a typical indication consists of 2 mandatory components and a variable number of potential qualifiers:</w:t>
      </w:r>
    </w:p>
    <w:tbl>
      <w:tblPr>
        <w:tblStyle w:val="TableGrid"/>
        <w:tblW w:w="0" w:type="auto"/>
        <w:jc w:val="center"/>
        <w:tblLook w:val="04A0" w:firstRow="1" w:lastRow="0" w:firstColumn="1" w:lastColumn="0" w:noHBand="0" w:noVBand="1"/>
      </w:tblPr>
      <w:tblGrid>
        <w:gridCol w:w="2841"/>
        <w:gridCol w:w="2841"/>
      </w:tblGrid>
      <w:tr w:rsidR="00A97CD0" w:rsidTr="00A97CD0">
        <w:trPr>
          <w:jc w:val="center"/>
        </w:trPr>
        <w:tc>
          <w:tcPr>
            <w:tcW w:w="2841" w:type="dxa"/>
            <w:tcBorders>
              <w:top w:val="single" w:sz="4" w:space="0" w:color="auto"/>
              <w:left w:val="single" w:sz="4" w:space="0" w:color="auto"/>
              <w:bottom w:val="single" w:sz="4" w:space="0" w:color="auto"/>
              <w:right w:val="single" w:sz="4" w:space="0" w:color="auto"/>
            </w:tcBorders>
            <w:shd w:val="clear" w:color="auto" w:fill="002060"/>
            <w:hideMark/>
          </w:tcPr>
          <w:p w:rsidR="00A97CD0" w:rsidRDefault="00A97CD0">
            <w:pPr>
              <w:rPr>
                <w:rFonts w:ascii="Arial Narrow" w:hAnsi="Arial Narrow"/>
                <w:color w:val="FFFFFF"/>
                <w:lang w:val="en-US"/>
              </w:rPr>
            </w:pPr>
            <w:r>
              <w:rPr>
                <w:rFonts w:ascii="Arial Narrow" w:hAnsi="Arial Narrow"/>
                <w:color w:val="FFFFFF"/>
                <w:lang w:val="en-US"/>
              </w:rPr>
              <w:t>Mandatory components</w:t>
            </w:r>
          </w:p>
        </w:tc>
        <w:tc>
          <w:tcPr>
            <w:tcW w:w="2841" w:type="dxa"/>
            <w:tcBorders>
              <w:top w:val="single" w:sz="4" w:space="0" w:color="auto"/>
              <w:left w:val="single" w:sz="4" w:space="0" w:color="auto"/>
              <w:bottom w:val="single" w:sz="4" w:space="0" w:color="auto"/>
              <w:right w:val="single" w:sz="4" w:space="0" w:color="auto"/>
            </w:tcBorders>
            <w:shd w:val="clear" w:color="auto" w:fill="002060"/>
            <w:hideMark/>
          </w:tcPr>
          <w:p w:rsidR="00A97CD0" w:rsidRDefault="00A97CD0">
            <w:pPr>
              <w:rPr>
                <w:rFonts w:ascii="Arial Narrow" w:hAnsi="Arial Narrow"/>
                <w:color w:val="FFFFFF"/>
                <w:lang w:val="en-US"/>
              </w:rPr>
            </w:pPr>
            <w:r>
              <w:rPr>
                <w:rFonts w:ascii="Arial Narrow" w:hAnsi="Arial Narrow"/>
                <w:color w:val="FFFFFF"/>
                <w:lang w:val="en-US"/>
              </w:rPr>
              <w:t>Potential Qualifiers</w:t>
            </w:r>
          </w:p>
        </w:tc>
      </w:tr>
      <w:tr w:rsidR="00A97CD0" w:rsidTr="00A97CD0">
        <w:trPr>
          <w:jc w:val="center"/>
        </w:trPr>
        <w:tc>
          <w:tcPr>
            <w:tcW w:w="284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lang w:val="en-US"/>
              </w:rPr>
            </w:pPr>
            <w:r>
              <w:rPr>
                <w:rFonts w:ascii="Arial Narrow" w:hAnsi="Arial Narrow"/>
                <w:lang w:val="en-US"/>
              </w:rPr>
              <w:t>Action</w:t>
            </w:r>
          </w:p>
        </w:tc>
        <w:tc>
          <w:tcPr>
            <w:tcW w:w="284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lang w:val="en-US"/>
              </w:rPr>
            </w:pPr>
            <w:r>
              <w:rPr>
                <w:rFonts w:ascii="Arial Narrow" w:hAnsi="Arial Narrow"/>
                <w:lang w:val="en-US"/>
              </w:rPr>
              <w:t>Action qualifier</w:t>
            </w:r>
          </w:p>
        </w:tc>
      </w:tr>
      <w:tr w:rsidR="00A97CD0" w:rsidTr="00A97CD0">
        <w:trPr>
          <w:jc w:val="center"/>
        </w:trPr>
        <w:tc>
          <w:tcPr>
            <w:tcW w:w="284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lang w:val="en-US"/>
              </w:rPr>
            </w:pPr>
            <w:r>
              <w:rPr>
                <w:rFonts w:ascii="Arial Narrow" w:hAnsi="Arial Narrow"/>
                <w:lang w:val="en-US"/>
              </w:rPr>
              <w:t>Target</w:t>
            </w:r>
          </w:p>
        </w:tc>
        <w:tc>
          <w:tcPr>
            <w:tcW w:w="284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lang w:val="en-US"/>
              </w:rPr>
            </w:pPr>
            <w:r>
              <w:rPr>
                <w:rFonts w:ascii="Arial Narrow" w:hAnsi="Arial Narrow"/>
                <w:lang w:val="en-US"/>
              </w:rPr>
              <w:t>Target qualifier</w:t>
            </w:r>
          </w:p>
        </w:tc>
      </w:tr>
      <w:tr w:rsidR="00A97CD0" w:rsidTr="00A97CD0">
        <w:trPr>
          <w:jc w:val="center"/>
        </w:trPr>
        <w:tc>
          <w:tcPr>
            <w:tcW w:w="2841" w:type="dxa"/>
            <w:tcBorders>
              <w:top w:val="single" w:sz="4" w:space="0" w:color="auto"/>
              <w:left w:val="single" w:sz="4" w:space="0" w:color="auto"/>
              <w:bottom w:val="single" w:sz="4" w:space="0" w:color="auto"/>
              <w:right w:val="single" w:sz="4" w:space="0" w:color="auto"/>
            </w:tcBorders>
          </w:tcPr>
          <w:p w:rsidR="00A97CD0" w:rsidRDefault="00A97CD0">
            <w:pPr>
              <w:rPr>
                <w:rFonts w:ascii="Arial Narrow" w:hAnsi="Arial Narrow"/>
                <w:lang w:val="en-US"/>
              </w:rPr>
            </w:pPr>
          </w:p>
        </w:tc>
        <w:tc>
          <w:tcPr>
            <w:tcW w:w="284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lang w:val="en-US"/>
              </w:rPr>
            </w:pPr>
            <w:r>
              <w:rPr>
                <w:rFonts w:ascii="Arial Narrow" w:hAnsi="Arial Narrow"/>
                <w:lang w:val="en-US"/>
              </w:rPr>
              <w:t>Context*</w:t>
            </w:r>
          </w:p>
        </w:tc>
      </w:tr>
    </w:tbl>
    <w:p w:rsidR="00A97CD0" w:rsidRDefault="00A97CD0" w:rsidP="00A97CD0">
      <w:pPr>
        <w:rPr>
          <w:rFonts w:ascii="Arial Narrow" w:hAnsi="Arial Narrow"/>
          <w:szCs w:val="20"/>
          <w:lang w:val="en-US"/>
        </w:rPr>
      </w:pPr>
      <w:r>
        <w:rPr>
          <w:rFonts w:ascii="Arial Narrow" w:hAnsi="Arial Narrow"/>
          <w:szCs w:val="20"/>
          <w:lang w:val="en-US"/>
        </w:rPr>
        <w:t>*Context mandatory for indications based on traditional evidence</w:t>
      </w:r>
    </w:p>
    <w:p w:rsidR="00A97CD0" w:rsidRDefault="00A97CD0" w:rsidP="00A97CD0">
      <w:pPr>
        <w:ind w:left="720" w:firstLine="720"/>
        <w:rPr>
          <w:rFonts w:asciiTheme="minorHAnsi" w:hAnsiTheme="minorHAnsi"/>
          <w:b/>
          <w:lang w:val="en-US"/>
        </w:rPr>
      </w:pPr>
      <w:r>
        <w:rPr>
          <w:rFonts w:asciiTheme="minorHAnsi" w:hAnsiTheme="minorHAnsi"/>
          <w:b/>
          <w:lang w:val="en-US"/>
        </w:rPr>
        <w:t>(C) to/for the (Q</w:t>
      </w:r>
      <w:r>
        <w:rPr>
          <w:rFonts w:asciiTheme="minorHAnsi" w:hAnsiTheme="minorHAnsi"/>
          <w:b/>
          <w:vertAlign w:val="subscript"/>
          <w:lang w:val="en-US"/>
        </w:rPr>
        <w:t>A</w:t>
      </w:r>
      <w:r>
        <w:rPr>
          <w:rFonts w:asciiTheme="minorHAnsi" w:hAnsiTheme="minorHAnsi"/>
          <w:b/>
          <w:lang w:val="en-US"/>
        </w:rPr>
        <w:t>)A of (Q</w:t>
      </w:r>
      <w:r>
        <w:rPr>
          <w:rFonts w:asciiTheme="minorHAnsi" w:hAnsiTheme="minorHAnsi"/>
          <w:b/>
          <w:vertAlign w:val="subscript"/>
          <w:lang w:val="en-US"/>
        </w:rPr>
        <w:t>T</w:t>
      </w:r>
      <w:r>
        <w:rPr>
          <w:rFonts w:asciiTheme="minorHAnsi" w:hAnsiTheme="minorHAnsi"/>
          <w:b/>
          <w:lang w:val="en-US"/>
        </w:rPr>
        <w:t>)T</w:t>
      </w:r>
    </w:p>
    <w:p w:rsidR="00A97CD0" w:rsidRDefault="00A97CD0" w:rsidP="00A97CD0">
      <w:pPr>
        <w:ind w:left="1440"/>
        <w:rPr>
          <w:rFonts w:asciiTheme="minorHAnsi" w:hAnsiTheme="minorHAnsi"/>
        </w:rPr>
      </w:pPr>
      <w:r>
        <w:rPr>
          <w:rFonts w:asciiTheme="minorHAnsi" w:hAnsiTheme="minorHAnsi"/>
        </w:rPr>
        <w:t>Where:</w:t>
      </w:r>
    </w:p>
    <w:p w:rsidR="00A97CD0" w:rsidRDefault="00A97CD0" w:rsidP="00A97CD0">
      <w:pPr>
        <w:ind w:left="1440"/>
        <w:rPr>
          <w:rFonts w:asciiTheme="minorHAnsi" w:hAnsiTheme="minorHAnsi"/>
        </w:rPr>
      </w:pPr>
      <w:r>
        <w:rPr>
          <w:rFonts w:asciiTheme="minorHAnsi" w:hAnsiTheme="minorHAnsi"/>
        </w:rPr>
        <w:t>C= Potential context qualifier (</w:t>
      </w:r>
      <w:proofErr w:type="spellStart"/>
      <w:r>
        <w:rPr>
          <w:rFonts w:asciiTheme="minorHAnsi" w:hAnsiTheme="minorHAnsi"/>
        </w:rPr>
        <w:t>eg</w:t>
      </w:r>
      <w:proofErr w:type="spellEnd"/>
      <w:r>
        <w:rPr>
          <w:rFonts w:asciiTheme="minorHAnsi" w:hAnsiTheme="minorHAnsi"/>
        </w:rPr>
        <w:t xml:space="preserve"> traditional disclaimer for traditional indications) </w:t>
      </w:r>
    </w:p>
    <w:p w:rsidR="00A97CD0" w:rsidRDefault="00A97CD0" w:rsidP="00A97CD0">
      <w:pPr>
        <w:ind w:left="1440"/>
        <w:rPr>
          <w:rFonts w:asciiTheme="minorHAnsi" w:hAnsiTheme="minorHAnsi"/>
        </w:rPr>
      </w:pPr>
      <w:r>
        <w:rPr>
          <w:rFonts w:asciiTheme="minorHAnsi" w:hAnsiTheme="minorHAnsi"/>
        </w:rPr>
        <w:t>A=Action, outcome or effect</w:t>
      </w:r>
    </w:p>
    <w:p w:rsidR="00A97CD0" w:rsidRDefault="00A97CD0" w:rsidP="00A97CD0">
      <w:pPr>
        <w:ind w:left="1440"/>
        <w:rPr>
          <w:rFonts w:asciiTheme="minorHAnsi" w:hAnsiTheme="minorHAnsi"/>
        </w:rPr>
      </w:pPr>
      <w:r>
        <w:rPr>
          <w:rFonts w:asciiTheme="minorHAnsi" w:hAnsiTheme="minorHAnsi"/>
        </w:rPr>
        <w:t>Q</w:t>
      </w:r>
      <w:r>
        <w:rPr>
          <w:rFonts w:asciiTheme="minorHAnsi" w:hAnsiTheme="minorHAnsi"/>
          <w:vertAlign w:val="subscript"/>
        </w:rPr>
        <w:t>A</w:t>
      </w:r>
      <w:r>
        <w:rPr>
          <w:rFonts w:asciiTheme="minorHAnsi" w:hAnsiTheme="minorHAnsi"/>
        </w:rPr>
        <w:t xml:space="preserve"> = potential action qualifier</w:t>
      </w:r>
    </w:p>
    <w:p w:rsidR="00A97CD0" w:rsidRDefault="00A97CD0" w:rsidP="00A97CD0">
      <w:pPr>
        <w:ind w:left="1440"/>
        <w:rPr>
          <w:rFonts w:asciiTheme="minorHAnsi" w:hAnsiTheme="minorHAnsi"/>
        </w:rPr>
      </w:pPr>
      <w:r>
        <w:rPr>
          <w:rFonts w:asciiTheme="minorHAnsi" w:hAnsiTheme="minorHAnsi"/>
        </w:rPr>
        <w:t>T =Target (clinical condition, health status or biological factor), Q</w:t>
      </w:r>
      <w:r>
        <w:rPr>
          <w:rFonts w:asciiTheme="minorHAnsi" w:hAnsiTheme="minorHAnsi"/>
          <w:vertAlign w:val="subscript"/>
        </w:rPr>
        <w:t>T</w:t>
      </w:r>
      <w:r>
        <w:rPr>
          <w:rFonts w:asciiTheme="minorHAnsi" w:hAnsiTheme="minorHAnsi"/>
        </w:rPr>
        <w:t xml:space="preserve"> is a potential target qualifier</w:t>
      </w:r>
    </w:p>
    <w:p w:rsidR="00A97CD0" w:rsidRDefault="00A97CD0" w:rsidP="00A97CD0">
      <w:pPr>
        <w:rPr>
          <w:rFonts w:asciiTheme="minorHAnsi" w:hAnsiTheme="minorHAnsi"/>
        </w:rPr>
      </w:pPr>
      <w:r>
        <w:rPr>
          <w:rFonts w:asciiTheme="minorHAnsi" w:hAnsiTheme="minorHAnsi"/>
        </w:rPr>
        <w:t>All indications on the ARTG include (by definition) an action/effect on a target factor or condition. The remaining qualifiers are applicable to only certain circumstances.</w:t>
      </w:r>
    </w:p>
    <w:p w:rsidR="00A97CD0" w:rsidRDefault="00A97CD0" w:rsidP="00A97CD0">
      <w:pPr>
        <w:rPr>
          <w:rFonts w:asciiTheme="minorHAnsi" w:hAnsiTheme="minorHAnsi"/>
        </w:rPr>
      </w:pPr>
      <w:r>
        <w:rPr>
          <w:rFonts w:asciiTheme="minorHAnsi" w:hAnsiTheme="minorHAnsi"/>
        </w:rPr>
        <w:t xml:space="preserve">Label representations that refer to a therapeutic use must be identical to their parent ARTG indication. New components can not be added and components in the parent indication can not be omitted. Actions, targets and qualifiers can not be replaced with related terms that imply or may be interpreted as “different”. </w:t>
      </w:r>
    </w:p>
    <w:p w:rsidR="00A97CD0" w:rsidRDefault="00A97CD0">
      <w:pPr>
        <w:spacing w:before="0" w:after="0" w:line="240" w:lineRule="auto"/>
        <w:rPr>
          <w:rFonts w:asciiTheme="minorHAnsi" w:hAnsiTheme="minorHAnsi"/>
        </w:rPr>
      </w:pPr>
      <w:r>
        <w:rPr>
          <w:rFonts w:asciiTheme="minorHAnsi" w:hAnsiTheme="minorHAnsi"/>
        </w:rPr>
        <w:br w:type="page"/>
      </w:r>
    </w:p>
    <w:tbl>
      <w:tblPr>
        <w:tblStyle w:val="TableGrid"/>
        <w:tblW w:w="8789" w:type="dxa"/>
        <w:tblInd w:w="108" w:type="dxa"/>
        <w:tblLook w:val="04A0" w:firstRow="1" w:lastRow="0" w:firstColumn="1" w:lastColumn="0" w:noHBand="0" w:noVBand="1"/>
      </w:tblPr>
      <w:tblGrid>
        <w:gridCol w:w="2835"/>
        <w:gridCol w:w="3261"/>
        <w:gridCol w:w="2693"/>
      </w:tblGrid>
      <w:tr w:rsidR="00A97CD0" w:rsidTr="00A97CD0">
        <w:trPr>
          <w:tblHeader/>
        </w:trPr>
        <w:tc>
          <w:tcPr>
            <w:tcW w:w="2835" w:type="dxa"/>
            <w:tcBorders>
              <w:top w:val="single" w:sz="4" w:space="0" w:color="auto"/>
              <w:left w:val="single" w:sz="4" w:space="0" w:color="auto"/>
              <w:bottom w:val="single" w:sz="4" w:space="0" w:color="auto"/>
              <w:right w:val="single" w:sz="4" w:space="0" w:color="auto"/>
            </w:tcBorders>
            <w:shd w:val="clear" w:color="auto" w:fill="C6D9F1"/>
            <w:hideMark/>
          </w:tcPr>
          <w:p w:rsidR="00A97CD0" w:rsidRDefault="00A97CD0">
            <w:pPr>
              <w:rPr>
                <w:rFonts w:ascii="Arial Narrow" w:eastAsiaTheme="minorHAnsi" w:hAnsi="Arial Narrow" w:cstheme="majorHAnsi"/>
                <w:b/>
              </w:rPr>
            </w:pPr>
            <w:r>
              <w:rPr>
                <w:rFonts w:ascii="Arial Narrow" w:hAnsi="Arial Narrow" w:cstheme="majorHAnsi"/>
                <w:b/>
              </w:rPr>
              <w:lastRenderedPageBreak/>
              <w:t>ARTG Indication</w:t>
            </w:r>
          </w:p>
        </w:tc>
        <w:tc>
          <w:tcPr>
            <w:tcW w:w="3261" w:type="dxa"/>
            <w:tcBorders>
              <w:top w:val="single" w:sz="4" w:space="0" w:color="auto"/>
              <w:left w:val="single" w:sz="4" w:space="0" w:color="auto"/>
              <w:bottom w:val="single" w:sz="4" w:space="0" w:color="auto"/>
              <w:right w:val="single" w:sz="4" w:space="0" w:color="auto"/>
            </w:tcBorders>
            <w:shd w:val="clear" w:color="auto" w:fill="C6D9F1"/>
            <w:hideMark/>
          </w:tcPr>
          <w:p w:rsidR="00A97CD0" w:rsidRDefault="00A97CD0">
            <w:pPr>
              <w:rPr>
                <w:rFonts w:ascii="Arial Narrow" w:eastAsiaTheme="minorHAnsi" w:hAnsi="Arial Narrow" w:cstheme="majorHAnsi"/>
                <w:b/>
              </w:rPr>
            </w:pPr>
            <w:r>
              <w:rPr>
                <w:rFonts w:ascii="Arial Narrow" w:hAnsi="Arial Narrow" w:cstheme="majorHAnsi"/>
                <w:b/>
              </w:rPr>
              <w:t>Examples of acceptable Representations</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A97CD0" w:rsidRDefault="00A97CD0">
            <w:pPr>
              <w:rPr>
                <w:rFonts w:ascii="Arial Narrow" w:eastAsiaTheme="minorHAnsi" w:hAnsi="Arial Narrow" w:cstheme="majorHAnsi"/>
                <w:b/>
              </w:rPr>
            </w:pPr>
            <w:r>
              <w:rPr>
                <w:rFonts w:ascii="Arial Narrow" w:hAnsi="Arial Narrow" w:cstheme="majorHAnsi"/>
                <w:b/>
              </w:rPr>
              <w:t>Examples of unacceptable representations</w:t>
            </w:r>
          </w:p>
        </w:tc>
      </w:tr>
      <w:tr w:rsidR="00A97CD0" w:rsidTr="00A97CD0">
        <w:tc>
          <w:tcPr>
            <w:tcW w:w="2835" w:type="dxa"/>
            <w:tcBorders>
              <w:top w:val="single" w:sz="4" w:space="0" w:color="auto"/>
              <w:left w:val="single" w:sz="4" w:space="0" w:color="auto"/>
              <w:bottom w:val="single" w:sz="4" w:space="0" w:color="auto"/>
              <w:right w:val="single" w:sz="4" w:space="0" w:color="auto"/>
            </w:tcBorders>
          </w:tcPr>
          <w:p w:rsidR="00A97CD0" w:rsidRDefault="00A97CD0">
            <w:pPr>
              <w:rPr>
                <w:rFonts w:ascii="Arial Narrow" w:hAnsi="Arial Narrow" w:cstheme="majorHAnsi"/>
                <w:sz w:val="20"/>
                <w:szCs w:val="20"/>
              </w:rPr>
            </w:pPr>
            <w:r>
              <w:rPr>
                <w:rFonts w:ascii="Arial Narrow" w:hAnsi="Arial Narrow" w:cstheme="majorHAnsi"/>
                <w:sz w:val="20"/>
                <w:szCs w:val="20"/>
              </w:rPr>
              <w:t xml:space="preserve">Contributes to a natural healthy gut </w:t>
            </w:r>
            <w:proofErr w:type="spellStart"/>
            <w:r>
              <w:rPr>
                <w:rFonts w:ascii="Arial Narrow" w:hAnsi="Arial Narrow" w:cstheme="majorHAnsi"/>
                <w:sz w:val="20"/>
                <w:szCs w:val="20"/>
              </w:rPr>
              <w:t>microflora</w:t>
            </w:r>
            <w:proofErr w:type="spellEnd"/>
          </w:p>
          <w:p w:rsidR="00A97CD0" w:rsidRDefault="00A97CD0">
            <w:pPr>
              <w:rPr>
                <w:rFonts w:ascii="Arial Narrow" w:hAnsi="Arial Narrow" w:cstheme="majorHAnsi"/>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 xml:space="preserve">Contributes to a natural healthy gut </w:t>
            </w:r>
            <w:proofErr w:type="spellStart"/>
            <w:r>
              <w:rPr>
                <w:rFonts w:ascii="Arial Narrow" w:hAnsi="Arial Narrow" w:cstheme="majorHAnsi"/>
                <w:sz w:val="20"/>
                <w:szCs w:val="20"/>
              </w:rPr>
              <w:t>microflora</w:t>
            </w:r>
            <w:proofErr w:type="spellEnd"/>
          </w:p>
          <w:p w:rsidR="00A97CD0" w:rsidRDefault="00A97CD0">
            <w:pPr>
              <w:rPr>
                <w:rFonts w:ascii="Arial Narrow" w:hAnsi="Arial Narrow" w:cstheme="majorHAnsi"/>
                <w:sz w:val="20"/>
                <w:szCs w:val="20"/>
              </w:rPr>
            </w:pPr>
            <w:r>
              <w:rPr>
                <w:rFonts w:ascii="Arial Narrow" w:hAnsi="Arial Narrow" w:cstheme="majorHAnsi"/>
                <w:sz w:val="20"/>
                <w:szCs w:val="20"/>
              </w:rPr>
              <w:t xml:space="preserve">Contains substance X, which contributes to a natural healthy gut </w:t>
            </w:r>
            <w:proofErr w:type="spellStart"/>
            <w:r>
              <w:rPr>
                <w:rFonts w:ascii="Arial Narrow" w:hAnsi="Arial Narrow" w:cstheme="majorHAnsi"/>
                <w:sz w:val="20"/>
                <w:szCs w:val="20"/>
              </w:rPr>
              <w:t>microflora</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 xml:space="preserve">Assists in the maintenance of a natural healthy gut </w:t>
            </w:r>
            <w:proofErr w:type="spellStart"/>
            <w:r>
              <w:rPr>
                <w:rFonts w:ascii="Arial Narrow" w:hAnsi="Arial Narrow" w:cstheme="majorHAnsi"/>
                <w:sz w:val="20"/>
                <w:szCs w:val="20"/>
              </w:rPr>
              <w:t>microflora</w:t>
            </w:r>
            <w:proofErr w:type="spellEnd"/>
          </w:p>
          <w:p w:rsidR="00A97CD0" w:rsidRDefault="00A97CD0">
            <w:pPr>
              <w:rPr>
                <w:rFonts w:ascii="Arial Narrow" w:hAnsi="Arial Narrow" w:cstheme="majorHAnsi"/>
                <w:b/>
                <w:sz w:val="20"/>
                <w:szCs w:val="20"/>
              </w:rPr>
            </w:pPr>
            <w:r>
              <w:rPr>
                <w:rFonts w:ascii="Arial Narrow" w:hAnsi="Arial Narrow" w:cstheme="majorHAnsi"/>
                <w:sz w:val="20"/>
                <w:szCs w:val="20"/>
              </w:rPr>
              <w:t xml:space="preserve">Helps prevent disorders due to imbalance of gut </w:t>
            </w:r>
            <w:proofErr w:type="spellStart"/>
            <w:r>
              <w:rPr>
                <w:rFonts w:ascii="Arial Narrow" w:hAnsi="Arial Narrow" w:cstheme="majorHAnsi"/>
                <w:sz w:val="20"/>
                <w:szCs w:val="20"/>
              </w:rPr>
              <w:t>microflora</w:t>
            </w:r>
            <w:proofErr w:type="spellEnd"/>
          </w:p>
        </w:tc>
      </w:tr>
      <w:tr w:rsidR="00A97CD0" w:rsidTr="00A97CD0">
        <w:tc>
          <w:tcPr>
            <w:tcW w:w="2835"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b/>
                <w:sz w:val="20"/>
                <w:szCs w:val="20"/>
              </w:rPr>
            </w:pPr>
            <w:r>
              <w:rPr>
                <w:rFonts w:ascii="Arial Narrow" w:hAnsi="Arial Narrow" w:cstheme="majorHAnsi"/>
                <w:sz w:val="20"/>
                <w:szCs w:val="20"/>
              </w:rPr>
              <w:t>Enhances weight loss in overweight individuals when used in conjunction with a (calorie- or kilojoule-) controlled diet and physical activity (or exercise)</w:t>
            </w:r>
          </w:p>
        </w:tc>
        <w:tc>
          <w:tcPr>
            <w:tcW w:w="326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Enhances weight loss in overweight individuals when used in conjunction with a (calorie- or kilojoule-) controlled diet and physical activity (or exercise)</w:t>
            </w:r>
          </w:p>
          <w:p w:rsidR="00A97CD0" w:rsidRDefault="00A97CD0">
            <w:pPr>
              <w:rPr>
                <w:rFonts w:ascii="Arial Narrow" w:eastAsiaTheme="minorHAnsi" w:hAnsi="Arial Narrow" w:cstheme="majorHAnsi"/>
                <w:b/>
                <w:sz w:val="20"/>
                <w:szCs w:val="20"/>
              </w:rPr>
            </w:pPr>
            <w:r>
              <w:rPr>
                <w:rFonts w:ascii="Arial Narrow" w:hAnsi="Arial Narrow" w:cstheme="majorHAnsi"/>
                <w:sz w:val="20"/>
                <w:szCs w:val="20"/>
              </w:rPr>
              <w:t>Contains substance Y which enhances weight loss in overweight individuals when used in conjunction with a (calorie- or kilojoule-) controlled diet and physical activity (or exercise)</w:t>
            </w:r>
          </w:p>
        </w:tc>
        <w:tc>
          <w:tcPr>
            <w:tcW w:w="2693"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b/>
                <w:sz w:val="20"/>
                <w:szCs w:val="20"/>
              </w:rPr>
            </w:pPr>
            <w:r>
              <w:rPr>
                <w:rFonts w:ascii="Arial Narrow" w:hAnsi="Arial Narrow" w:cstheme="majorHAnsi"/>
                <w:sz w:val="20"/>
                <w:szCs w:val="20"/>
              </w:rPr>
              <w:t>Enhances weight loss in obese individuals when used in conjunction with a (calorie- or kilojoule-) controlled diet and physical activity (or exercise)</w:t>
            </w:r>
          </w:p>
        </w:tc>
      </w:tr>
      <w:tr w:rsidR="00A97CD0" w:rsidTr="00A97CD0">
        <w:tc>
          <w:tcPr>
            <w:tcW w:w="2835"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Suppresses appetite</w:t>
            </w:r>
          </w:p>
        </w:tc>
        <w:tc>
          <w:tcPr>
            <w:tcW w:w="326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Suppresses appetite</w:t>
            </w:r>
          </w:p>
          <w:p w:rsidR="00A97CD0" w:rsidRDefault="00A97CD0">
            <w:pPr>
              <w:rPr>
                <w:rFonts w:ascii="Arial Narrow" w:eastAsiaTheme="minorHAnsi" w:hAnsi="Arial Narrow" w:cstheme="majorHAnsi"/>
                <w:sz w:val="20"/>
                <w:szCs w:val="20"/>
              </w:rPr>
            </w:pPr>
            <w:r>
              <w:rPr>
                <w:rFonts w:ascii="Arial Narrow" w:hAnsi="Arial Narrow" w:cstheme="majorHAnsi"/>
                <w:sz w:val="20"/>
                <w:szCs w:val="20"/>
              </w:rPr>
              <w:t>Contains substance Z which suppresses appetite</w:t>
            </w:r>
          </w:p>
        </w:tc>
        <w:tc>
          <w:tcPr>
            <w:tcW w:w="2693"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Inhibits appetite</w:t>
            </w:r>
          </w:p>
          <w:p w:rsidR="00A97CD0" w:rsidRDefault="00A97CD0">
            <w:pPr>
              <w:rPr>
                <w:rFonts w:ascii="Arial Narrow" w:hAnsi="Arial Narrow" w:cstheme="majorHAnsi"/>
                <w:sz w:val="20"/>
                <w:szCs w:val="20"/>
              </w:rPr>
            </w:pPr>
            <w:r>
              <w:rPr>
                <w:rFonts w:ascii="Arial Narrow" w:hAnsi="Arial Narrow" w:cstheme="majorHAnsi"/>
                <w:sz w:val="20"/>
                <w:szCs w:val="20"/>
              </w:rPr>
              <w:t>Enhances weight loss</w:t>
            </w:r>
          </w:p>
        </w:tc>
      </w:tr>
      <w:tr w:rsidR="00A97CD0" w:rsidTr="00A97CD0">
        <w:tc>
          <w:tcPr>
            <w:tcW w:w="2835"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Essential for healthy strong bones</w:t>
            </w:r>
          </w:p>
        </w:tc>
        <w:tc>
          <w:tcPr>
            <w:tcW w:w="3261"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hAnsi="Arial Narrow" w:cstheme="majorHAnsi"/>
                <w:sz w:val="20"/>
                <w:szCs w:val="20"/>
              </w:rPr>
            </w:pPr>
            <w:r>
              <w:rPr>
                <w:rFonts w:ascii="Arial Narrow" w:hAnsi="Arial Narrow" w:cstheme="majorHAnsi"/>
                <w:sz w:val="20"/>
                <w:szCs w:val="20"/>
              </w:rPr>
              <w:t xml:space="preserve">Essential for healthy strong bones </w:t>
            </w:r>
          </w:p>
          <w:p w:rsidR="00A97CD0" w:rsidRDefault="00A97CD0">
            <w:pPr>
              <w:rPr>
                <w:rFonts w:ascii="Arial Narrow" w:eastAsiaTheme="minorHAnsi" w:hAnsi="Arial Narrow" w:cstheme="majorHAnsi"/>
                <w:sz w:val="20"/>
                <w:szCs w:val="20"/>
              </w:rPr>
            </w:pPr>
            <w:r>
              <w:rPr>
                <w:rFonts w:ascii="Arial Narrow" w:hAnsi="Arial Narrow" w:cstheme="majorHAnsi"/>
                <w:sz w:val="20"/>
                <w:szCs w:val="20"/>
              </w:rPr>
              <w:t>Contains substance W which is essential for healthy strong bones</w:t>
            </w:r>
          </w:p>
        </w:tc>
        <w:tc>
          <w:tcPr>
            <w:tcW w:w="2693" w:type="dxa"/>
            <w:tcBorders>
              <w:top w:val="single" w:sz="4" w:space="0" w:color="auto"/>
              <w:left w:val="single" w:sz="4" w:space="0" w:color="auto"/>
              <w:bottom w:val="single" w:sz="4" w:space="0" w:color="auto"/>
              <w:right w:val="single" w:sz="4" w:space="0" w:color="auto"/>
            </w:tcBorders>
            <w:hideMark/>
          </w:tcPr>
          <w:p w:rsidR="00A97CD0" w:rsidRDefault="00A97CD0">
            <w:pPr>
              <w:rPr>
                <w:rFonts w:ascii="Arial Narrow" w:eastAsiaTheme="minorHAnsi" w:hAnsi="Arial Narrow" w:cstheme="majorHAnsi"/>
                <w:sz w:val="20"/>
                <w:szCs w:val="20"/>
              </w:rPr>
            </w:pPr>
            <w:r>
              <w:rPr>
                <w:rFonts w:ascii="Arial Narrow" w:hAnsi="Arial Narrow" w:cstheme="majorHAnsi"/>
                <w:sz w:val="20"/>
                <w:szCs w:val="20"/>
              </w:rPr>
              <w:t>Reduces bone fractures</w:t>
            </w:r>
          </w:p>
        </w:tc>
      </w:tr>
    </w:tbl>
    <w:p w:rsidR="00A97CD0" w:rsidRDefault="00A97CD0" w:rsidP="00A97CD0">
      <w:pPr>
        <w:rPr>
          <w:rFonts w:asciiTheme="minorHAnsi" w:hAnsiTheme="minorHAnsi"/>
        </w:rPr>
      </w:pPr>
      <w:r>
        <w:rPr>
          <w:rFonts w:asciiTheme="minorHAnsi" w:hAnsiTheme="minorHAnsi"/>
        </w:rPr>
        <w:t>Representations must not be phrased in ways that may mislead consumers, and care must be taken to ensure that representations are phrased so as not to infer related health benefits that are not directly related to the parent indication.</w:t>
      </w:r>
    </w:p>
    <w:p w:rsidR="00A97CD0" w:rsidRDefault="00A97CD0" w:rsidP="00A97CD0">
      <w:pPr>
        <w:rPr>
          <w:rFonts w:asciiTheme="minorHAnsi" w:hAnsiTheme="minorHAnsi"/>
          <w:i/>
        </w:rPr>
      </w:pPr>
      <w:r>
        <w:rPr>
          <w:rFonts w:asciiTheme="minorHAnsi" w:hAnsiTheme="minorHAnsi"/>
          <w:i/>
        </w:rPr>
        <w:t>Terms such as weight maintenance, weight control and weight management are ambiguous and can not be used to substitute for weight loss in a parent indication.</w:t>
      </w:r>
    </w:p>
    <w:p w:rsidR="00A97CD0" w:rsidRDefault="00A97CD0" w:rsidP="00A97CD0">
      <w:pPr>
        <w:rPr>
          <w:rFonts w:asciiTheme="minorHAnsi" w:hAnsiTheme="minorHAnsi"/>
          <w:b/>
        </w:rPr>
      </w:pPr>
      <w:r>
        <w:rPr>
          <w:rFonts w:asciiTheme="minorHAnsi" w:hAnsiTheme="minorHAnsi"/>
          <w:b/>
        </w:rPr>
        <w:t>Non-indication representations</w:t>
      </w:r>
    </w:p>
    <w:p w:rsidR="00A97CD0" w:rsidRDefault="00A97CD0" w:rsidP="00A97CD0">
      <w:pPr>
        <w:rPr>
          <w:rFonts w:asciiTheme="minorHAnsi" w:hAnsiTheme="minorHAnsi"/>
        </w:rPr>
      </w:pPr>
      <w:r>
        <w:rPr>
          <w:rFonts w:asciiTheme="minorHAnsi" w:hAnsiTheme="minorHAnsi"/>
        </w:rPr>
        <w:t>Non-indication representations include content representations. Content representations must accurately reflect the composition of the medicine. If described as a source of a particular nutrient, that nutrient must be present in the product at a biologically meaningful level. Evidence must be held to substantiate such representations; however they are not required to be included on the ARTG and will not be included in the list of standard indications.</w:t>
      </w:r>
    </w:p>
    <w:p w:rsidR="00A97CD0" w:rsidRDefault="00A97CD0" w:rsidP="00A97CD0">
      <w:pPr>
        <w:rPr>
          <w:rFonts w:asciiTheme="minorHAnsi" w:hAnsiTheme="minorHAnsi"/>
        </w:rPr>
      </w:pPr>
      <w:r>
        <w:rPr>
          <w:rFonts w:asciiTheme="minorHAnsi" w:hAnsiTheme="minorHAnsi"/>
        </w:rPr>
        <w:t>As outlined in the table above, non-indication representations can be merged with indication representations in order to provide useful information to consumers in a concise manner.</w:t>
      </w:r>
    </w:p>
    <w:p w:rsidR="00A97CD0" w:rsidRDefault="00A97CD0" w:rsidP="00A97CD0">
      <w:pPr>
        <w:pStyle w:val="Heading2"/>
      </w:pPr>
      <w:bookmarkStart w:id="15" w:name="_Toc331689835"/>
      <w:r>
        <w:rPr>
          <w:rFonts w:eastAsiaTheme="majorEastAsia"/>
        </w:rPr>
        <w:lastRenderedPageBreak/>
        <w:t>6. Words in standard indications that are considered equivalent and interchangeable</w:t>
      </w:r>
      <w:bookmarkEnd w:id="15"/>
    </w:p>
    <w:p w:rsidR="00A97CD0" w:rsidRDefault="00A97CD0" w:rsidP="00A97CD0">
      <w:pPr>
        <w:rPr>
          <w:rFonts w:asciiTheme="minorHAnsi" w:hAnsiTheme="minorHAnsi"/>
        </w:rPr>
      </w:pPr>
      <w:r>
        <w:rPr>
          <w:rFonts w:asciiTheme="minorHAnsi" w:hAnsiTheme="minorHAnsi"/>
        </w:rPr>
        <w:t xml:space="preserve">As discussed above, label representations that refer to a therapeutic use must be identical to their parent ARTG indication. Therefore, it is important that standard indications include a sufficient number of equivalent terms that describe a therapeutic effect to allow for flexibility when marketing listed products. </w:t>
      </w:r>
    </w:p>
    <w:p w:rsidR="00A97CD0" w:rsidRDefault="00A97CD0" w:rsidP="00A97CD0">
      <w:pPr>
        <w:rPr>
          <w:rFonts w:asciiTheme="minorHAnsi" w:hAnsiTheme="minorHAnsi"/>
          <w:b/>
        </w:rPr>
      </w:pPr>
      <w:r>
        <w:rPr>
          <w:rFonts w:asciiTheme="minorHAnsi" w:hAnsiTheme="minorHAnsi"/>
          <w:b/>
        </w:rPr>
        <w:t>The informal working group is asked to consider appropriate and equivalent action, target and qualifier terms to be included in standard indications such that the overall meaning of the indication is maintained. When considering the acceptability of substitute terms, working group members should refer to an es</w:t>
      </w:r>
      <w:r w:rsidR="009C3313">
        <w:rPr>
          <w:rFonts w:asciiTheme="minorHAnsi" w:hAnsiTheme="minorHAnsi"/>
          <w:b/>
        </w:rPr>
        <w:t>tablished thesaurus</w:t>
      </w:r>
      <w:r w:rsidR="006C531D">
        <w:rPr>
          <w:rFonts w:asciiTheme="minorHAnsi" w:hAnsiTheme="minorHAnsi"/>
          <w:b/>
        </w:rPr>
        <w:t>.</w:t>
      </w:r>
      <w:r w:rsidR="009C3313">
        <w:rPr>
          <w:rFonts w:asciiTheme="minorHAnsi" w:hAnsiTheme="minorHAnsi"/>
          <w:b/>
        </w:rPr>
        <w:t xml:space="preserve"> </w:t>
      </w:r>
      <w:r w:rsidRPr="002C76AB">
        <w:rPr>
          <w:rFonts w:asciiTheme="minorHAnsi" w:hAnsiTheme="minorHAnsi"/>
          <w:b/>
        </w:rPr>
        <w:t xml:space="preserve">Attachment </w:t>
      </w:r>
      <w:r w:rsidR="009C3313" w:rsidRPr="002C76AB">
        <w:rPr>
          <w:rFonts w:asciiTheme="minorHAnsi" w:hAnsiTheme="minorHAnsi"/>
          <w:b/>
        </w:rPr>
        <w:t>1, Tab 5 (</w:t>
      </w:r>
      <w:r w:rsidRPr="002C76AB">
        <w:rPr>
          <w:rFonts w:asciiTheme="minorHAnsi" w:hAnsiTheme="minorHAnsi"/>
          <w:b/>
        </w:rPr>
        <w:t>EQUIVALENT TERMS) is</w:t>
      </w:r>
      <w:r>
        <w:rPr>
          <w:rFonts w:asciiTheme="minorHAnsi" w:hAnsiTheme="minorHAnsi"/>
          <w:b/>
        </w:rPr>
        <w:t xml:space="preserve"> provided for this purpose.</w:t>
      </w:r>
    </w:p>
    <w:p w:rsidR="00A97CD0" w:rsidRDefault="00A97CD0" w:rsidP="00A97CD0">
      <w:pPr>
        <w:rPr>
          <w:rFonts w:asciiTheme="minorHAnsi" w:hAnsiTheme="minorHAnsi"/>
          <w:i/>
        </w:rPr>
      </w:pPr>
      <w:r>
        <w:rPr>
          <w:rFonts w:asciiTheme="minorHAnsi" w:hAnsiTheme="minorHAnsi"/>
          <w:i/>
        </w:rPr>
        <w:t>Example: Reduce may be considered equivalent to terms such as decrease and lower.</w:t>
      </w:r>
    </w:p>
    <w:p w:rsidR="00A97CD0" w:rsidRDefault="00A97CD0" w:rsidP="00A97CD0">
      <w:pPr>
        <w:pStyle w:val="Heading2"/>
        <w:rPr>
          <w:rFonts w:eastAsiaTheme="majorEastAsia"/>
        </w:rPr>
      </w:pPr>
      <w:bookmarkStart w:id="16" w:name="_Toc331689836"/>
      <w:r>
        <w:rPr>
          <w:rFonts w:eastAsiaTheme="majorEastAsia"/>
        </w:rPr>
        <w:t>7. The omission of standard indications that are not appropriate for listed medicines</w:t>
      </w:r>
      <w:bookmarkEnd w:id="16"/>
    </w:p>
    <w:p w:rsidR="00A97CD0" w:rsidRDefault="00A97CD0" w:rsidP="00A97CD0">
      <w:r>
        <w:t>An indication for a listed medicine must not refer to a disease, ailment, defect or condition generally accepted to be beyond the ability of the average consumer to diagnose, treat or manage without the intervention of an appropriately qualified healthcare practitioner (this includes obesity but does not include management of overweight- see section 1). Indications for listed medicines, in general, must only refer to ailments or health states that are self-diagnosable, self-treatable, self-resolving and the consumer can recognise if the product is ineffective and make decisions to discontinue use, seek an alternate product or seek the advice of a healthcare professional, as appropriate.</w:t>
      </w:r>
    </w:p>
    <w:p w:rsidR="00A97CD0" w:rsidRDefault="00A97CD0" w:rsidP="00A97CD0">
      <w:pPr>
        <w:spacing w:before="240"/>
      </w:pPr>
      <w:r w:rsidRPr="006C531D">
        <w:rPr>
          <w:b/>
        </w:rPr>
        <w:t>Based on the above criteria, a number of currently available standard indications are considered unsuitable for use in listed medicines. These have been identified and provided in Attachment 1</w:t>
      </w:r>
      <w:r w:rsidR="009C3313" w:rsidRPr="006C531D">
        <w:rPr>
          <w:b/>
        </w:rPr>
        <w:t>, Tab 2</w:t>
      </w:r>
      <w:r w:rsidRPr="006C531D">
        <w:rPr>
          <w:b/>
        </w:rPr>
        <w:t xml:space="preserve"> </w:t>
      </w:r>
      <w:r w:rsidR="009C3313" w:rsidRPr="006C531D">
        <w:rPr>
          <w:b/>
        </w:rPr>
        <w:t>(</w:t>
      </w:r>
      <w:r w:rsidRPr="006C531D">
        <w:rPr>
          <w:b/>
        </w:rPr>
        <w:t>STD IND CONSIDERED FOR OMISSION) in the proposed list of standard indications</w:t>
      </w:r>
      <w:r>
        <w:t xml:space="preserve">. </w:t>
      </w:r>
    </w:p>
    <w:p w:rsidR="00A97CD0" w:rsidRDefault="00A97CD0" w:rsidP="00A97CD0">
      <w:pPr>
        <w:rPr>
          <w:rFonts w:asciiTheme="minorHAnsi" w:hAnsiTheme="minorHAnsi"/>
          <w:b/>
        </w:rPr>
      </w:pPr>
      <w:r>
        <w:rPr>
          <w:rFonts w:asciiTheme="minorHAnsi" w:hAnsiTheme="minorHAnsi"/>
          <w:b/>
        </w:rPr>
        <w:t>Working group members are asked to consider the appropriateness of these indications for use on listed medicines.  In doing so, members should consider the following:</w:t>
      </w:r>
    </w:p>
    <w:p w:rsidR="00A97CD0" w:rsidRDefault="00A97CD0" w:rsidP="00A97CD0">
      <w:pPr>
        <w:pStyle w:val="ListParagraph"/>
        <w:numPr>
          <w:ilvl w:val="0"/>
          <w:numId w:val="35"/>
        </w:numPr>
        <w:rPr>
          <w:rFonts w:asciiTheme="minorHAnsi" w:hAnsiTheme="minorHAnsi"/>
          <w:b/>
        </w:rPr>
      </w:pPr>
      <w:r>
        <w:rPr>
          <w:rFonts w:asciiTheme="minorHAnsi" w:hAnsiTheme="minorHAnsi"/>
          <w:b/>
        </w:rPr>
        <w:t>Whether the condition is appropriate to be diagnosed by an average consumer</w:t>
      </w:r>
    </w:p>
    <w:p w:rsidR="00A97CD0" w:rsidRDefault="00A97CD0" w:rsidP="00A97CD0">
      <w:pPr>
        <w:pStyle w:val="ListParagraph"/>
        <w:numPr>
          <w:ilvl w:val="0"/>
          <w:numId w:val="35"/>
        </w:numPr>
        <w:rPr>
          <w:rFonts w:asciiTheme="minorHAnsi" w:hAnsiTheme="minorHAnsi"/>
          <w:b/>
        </w:rPr>
      </w:pPr>
      <w:r>
        <w:rPr>
          <w:rFonts w:asciiTheme="minorHAnsi" w:hAnsiTheme="minorHAnsi"/>
          <w:b/>
        </w:rPr>
        <w:t>Whether the condition is appropriate to be managed by an average consumer</w:t>
      </w:r>
    </w:p>
    <w:p w:rsidR="00A97CD0" w:rsidRDefault="00A97CD0" w:rsidP="00A97CD0">
      <w:pPr>
        <w:pStyle w:val="ListParagraph"/>
        <w:numPr>
          <w:ilvl w:val="0"/>
          <w:numId w:val="35"/>
        </w:numPr>
        <w:rPr>
          <w:rFonts w:asciiTheme="minorHAnsi" w:hAnsiTheme="minorHAnsi"/>
          <w:b/>
        </w:rPr>
      </w:pPr>
      <w:r>
        <w:rPr>
          <w:rFonts w:asciiTheme="minorHAnsi" w:hAnsiTheme="minorHAnsi"/>
          <w:b/>
        </w:rPr>
        <w:t>Whether the condition is appropriate to be evaluated or monitored by an average consumer</w:t>
      </w:r>
    </w:p>
    <w:p w:rsidR="00A97CD0" w:rsidRDefault="00A97CD0" w:rsidP="00A97CD0">
      <w:pPr>
        <w:pStyle w:val="ListParagraph"/>
        <w:numPr>
          <w:ilvl w:val="0"/>
          <w:numId w:val="35"/>
        </w:numPr>
        <w:rPr>
          <w:rFonts w:asciiTheme="minorHAnsi" w:hAnsiTheme="minorHAnsi"/>
          <w:b/>
        </w:rPr>
      </w:pPr>
      <w:r>
        <w:rPr>
          <w:rFonts w:asciiTheme="minorHAnsi" w:hAnsiTheme="minorHAnsi"/>
          <w:b/>
        </w:rPr>
        <w:t>Whether any associated risks associated with use of the indication may be mitigated through use of a disclaimer</w:t>
      </w:r>
    </w:p>
    <w:p w:rsidR="00A97CD0" w:rsidRPr="004C3564" w:rsidRDefault="00A611E8" w:rsidP="00A97CD0">
      <w:pPr>
        <w:rPr>
          <w:rFonts w:asciiTheme="minorHAnsi" w:hAnsiTheme="minorHAnsi"/>
          <w:b/>
        </w:rPr>
      </w:pPr>
      <w:r w:rsidRPr="004C3564">
        <w:rPr>
          <w:rFonts w:asciiTheme="minorHAnsi" w:hAnsiTheme="minorHAnsi"/>
          <w:b/>
        </w:rPr>
        <w:t>Any comments on indications considered for omission can be provided in Tab 2.</w:t>
      </w:r>
    </w:p>
    <w:p w:rsidR="00A97CD0" w:rsidRDefault="00A97CD0" w:rsidP="00A97CD0">
      <w:pPr>
        <w:pStyle w:val="Heading3"/>
        <w:rPr>
          <w:lang w:val="en-US"/>
        </w:rPr>
      </w:pPr>
      <w:bookmarkStart w:id="17" w:name="_Toc331689837"/>
      <w:r>
        <w:rPr>
          <w:lang w:val="en-US"/>
        </w:rPr>
        <w:lastRenderedPageBreak/>
        <w:t>Appendix 1: Draft Implementation Schedule for Standard Indications Project</w:t>
      </w:r>
      <w:bookmarkEnd w:id="17"/>
    </w:p>
    <w:p w:rsidR="00A97CD0" w:rsidRDefault="00A97CD0" w:rsidP="00A97CD0">
      <w:pPr>
        <w:rPr>
          <w:rFonts w:asciiTheme="minorHAnsi" w:hAnsiTheme="minorHAnsi"/>
          <w:b/>
          <w:lang w:val="en-US"/>
        </w:rPr>
      </w:pPr>
      <w:r>
        <w:rPr>
          <w:rFonts w:asciiTheme="minorHAnsi" w:hAnsiTheme="minorHAnsi"/>
          <w:b/>
          <w:lang w:val="en-US"/>
        </w:rPr>
        <w:t>(indicative dates only)</w:t>
      </w:r>
    </w:p>
    <w:p w:rsidR="00A97CD0" w:rsidRDefault="00A97CD0" w:rsidP="00A97CD0">
      <w:pPr>
        <w:rPr>
          <w:rFonts w:asciiTheme="minorHAnsi" w:hAnsiTheme="minorHAnsi"/>
          <w:b/>
          <w:lang w:val="en-US"/>
        </w:rPr>
      </w:pPr>
    </w:p>
    <w:p w:rsidR="00A97CD0" w:rsidRDefault="00A97CD0" w:rsidP="00A97CD0">
      <w:pPr>
        <w:rPr>
          <w:rFonts w:asciiTheme="minorHAnsi" w:hAnsiTheme="minorHAnsi"/>
          <w:lang w:val="en-US"/>
        </w:rPr>
      </w:pPr>
      <w:r>
        <w:rPr>
          <w:rFonts w:asciiTheme="minorHAnsi" w:hAnsiTheme="minorHAnsi"/>
          <w:lang w:val="en-US"/>
        </w:rPr>
        <w:t>Development of expanded list of standard indications (TGA-industry)</w:t>
      </w:r>
    </w:p>
    <w:p w:rsidR="00A97CD0" w:rsidRDefault="00A97CD0" w:rsidP="00A97CD0">
      <w:pPr>
        <w:rPr>
          <w:rFonts w:asciiTheme="minorHAnsi" w:hAnsiTheme="minorHAnsi"/>
          <w:i/>
          <w:lang w:val="en-US"/>
        </w:rPr>
      </w:pPr>
      <w:r>
        <w:rPr>
          <w:rFonts w:asciiTheme="minorHAnsi" w:hAnsiTheme="minorHAnsi"/>
          <w:i/>
          <w:lang w:val="en-US"/>
        </w:rPr>
        <w:t>July 2012 – September 2012</w:t>
      </w:r>
    </w:p>
    <w:p w:rsidR="00A97CD0" w:rsidRDefault="00A97CD0" w:rsidP="00A97CD0">
      <w:pPr>
        <w:rPr>
          <w:rFonts w:asciiTheme="minorHAnsi" w:hAnsiTheme="minorHAnsi"/>
          <w:lang w:val="en-US"/>
        </w:rPr>
      </w:pPr>
      <w:r>
        <w:rPr>
          <w:rFonts w:asciiTheme="minorHAnsi" w:hAnsiTheme="minorHAnsi"/>
          <w:lang w:val="en-US"/>
        </w:rPr>
        <w:t xml:space="preserve">Electronic Listing Facility (ELF) amendments to support </w:t>
      </w:r>
      <w:proofErr w:type="spellStart"/>
      <w:r>
        <w:rPr>
          <w:rFonts w:asciiTheme="minorHAnsi" w:hAnsiTheme="minorHAnsi"/>
          <w:lang w:val="en-US"/>
        </w:rPr>
        <w:t>rationalisation</w:t>
      </w:r>
      <w:proofErr w:type="spellEnd"/>
    </w:p>
    <w:p w:rsidR="00A97CD0" w:rsidRDefault="00A97CD0" w:rsidP="00A97CD0">
      <w:pPr>
        <w:rPr>
          <w:rFonts w:asciiTheme="minorHAnsi" w:hAnsiTheme="minorHAnsi"/>
          <w:i/>
          <w:lang w:val="en-US"/>
        </w:rPr>
      </w:pPr>
      <w:r>
        <w:rPr>
          <w:rFonts w:asciiTheme="minorHAnsi" w:hAnsiTheme="minorHAnsi"/>
          <w:i/>
          <w:lang w:val="en-US"/>
        </w:rPr>
        <w:t>September 2012</w:t>
      </w:r>
    </w:p>
    <w:p w:rsidR="00A97CD0" w:rsidRDefault="00A97CD0" w:rsidP="00A97CD0">
      <w:pPr>
        <w:rPr>
          <w:rFonts w:asciiTheme="minorHAnsi" w:hAnsiTheme="minorHAnsi"/>
          <w:lang w:val="en-US"/>
        </w:rPr>
      </w:pPr>
      <w:r>
        <w:rPr>
          <w:rFonts w:asciiTheme="minorHAnsi" w:hAnsiTheme="minorHAnsi"/>
          <w:lang w:val="en-US"/>
        </w:rPr>
        <w:t>Consultation with key stakeholders: changes to ELF &amp; expanded list of standard indications</w:t>
      </w:r>
    </w:p>
    <w:p w:rsidR="00A97CD0" w:rsidRDefault="00A97CD0" w:rsidP="00A97CD0">
      <w:pPr>
        <w:rPr>
          <w:rFonts w:asciiTheme="minorHAnsi" w:hAnsiTheme="minorHAnsi"/>
          <w:i/>
          <w:lang w:val="en-US"/>
        </w:rPr>
      </w:pPr>
      <w:r>
        <w:rPr>
          <w:rFonts w:asciiTheme="minorHAnsi" w:hAnsiTheme="minorHAnsi"/>
          <w:i/>
          <w:lang w:val="en-US"/>
        </w:rPr>
        <w:t>October 2012</w:t>
      </w:r>
    </w:p>
    <w:p w:rsidR="00A97CD0" w:rsidRDefault="00A97CD0" w:rsidP="00A97CD0">
      <w:pPr>
        <w:rPr>
          <w:rFonts w:asciiTheme="minorHAnsi" w:hAnsiTheme="minorHAnsi"/>
          <w:lang w:val="en-US"/>
        </w:rPr>
      </w:pPr>
      <w:r>
        <w:rPr>
          <w:rFonts w:asciiTheme="minorHAnsi" w:hAnsiTheme="minorHAnsi"/>
          <w:lang w:val="en-US"/>
        </w:rPr>
        <w:t>Regulatory Impact Statement developed based on public consultation</w:t>
      </w:r>
    </w:p>
    <w:p w:rsidR="00A97CD0" w:rsidRDefault="00A97CD0" w:rsidP="00A97CD0">
      <w:pPr>
        <w:rPr>
          <w:rFonts w:asciiTheme="minorHAnsi" w:hAnsiTheme="minorHAnsi"/>
          <w:i/>
          <w:lang w:val="en-US"/>
        </w:rPr>
      </w:pPr>
      <w:r>
        <w:rPr>
          <w:rFonts w:asciiTheme="minorHAnsi" w:hAnsiTheme="minorHAnsi"/>
          <w:i/>
          <w:lang w:val="en-US"/>
        </w:rPr>
        <w:t>November – December 2012</w:t>
      </w:r>
    </w:p>
    <w:p w:rsidR="00A97CD0" w:rsidRDefault="00A97CD0" w:rsidP="00A97CD0">
      <w:pPr>
        <w:rPr>
          <w:rFonts w:asciiTheme="minorHAnsi" w:hAnsiTheme="minorHAnsi"/>
          <w:lang w:val="en-US"/>
        </w:rPr>
      </w:pPr>
      <w:r>
        <w:rPr>
          <w:rFonts w:asciiTheme="minorHAnsi" w:hAnsiTheme="minorHAnsi"/>
          <w:lang w:val="en-US"/>
        </w:rPr>
        <w:t>Legislative changes to restrict to standard indications and allow for approval of new standard indication</w:t>
      </w:r>
    </w:p>
    <w:p w:rsidR="00A97CD0" w:rsidRDefault="00A97CD0" w:rsidP="00A97CD0">
      <w:pPr>
        <w:rPr>
          <w:rFonts w:asciiTheme="minorHAnsi" w:hAnsiTheme="minorHAnsi"/>
          <w:i/>
          <w:lang w:val="en-US"/>
        </w:rPr>
      </w:pPr>
      <w:r>
        <w:rPr>
          <w:rFonts w:asciiTheme="minorHAnsi" w:hAnsiTheme="minorHAnsi"/>
          <w:i/>
          <w:lang w:val="en-US"/>
        </w:rPr>
        <w:t>March  2013</w:t>
      </w:r>
    </w:p>
    <w:p w:rsidR="00A97CD0" w:rsidRDefault="00A97CD0" w:rsidP="00A97CD0">
      <w:pPr>
        <w:rPr>
          <w:rFonts w:asciiTheme="minorHAnsi" w:hAnsiTheme="minorHAnsi"/>
          <w:lang w:val="en-US"/>
        </w:rPr>
      </w:pPr>
      <w:r>
        <w:rPr>
          <w:rFonts w:asciiTheme="minorHAnsi" w:hAnsiTheme="minorHAnsi"/>
          <w:lang w:val="en-US"/>
        </w:rPr>
        <w:t>Implementation Date</w:t>
      </w:r>
    </w:p>
    <w:p w:rsidR="00A97CD0" w:rsidRDefault="00A97CD0" w:rsidP="00A97CD0">
      <w:pPr>
        <w:rPr>
          <w:rFonts w:asciiTheme="minorHAnsi" w:hAnsiTheme="minorHAnsi"/>
          <w:i/>
          <w:lang w:val="en-US"/>
        </w:rPr>
      </w:pPr>
      <w:r>
        <w:rPr>
          <w:rFonts w:asciiTheme="minorHAnsi" w:hAnsiTheme="minorHAnsi"/>
          <w:i/>
          <w:lang w:val="en-US"/>
        </w:rPr>
        <w:t>1 July 2013</w:t>
      </w:r>
    </w:p>
    <w:p w:rsidR="00A97CD0" w:rsidRDefault="00A97CD0" w:rsidP="00A97CD0">
      <w:pPr>
        <w:rPr>
          <w:rFonts w:asciiTheme="minorHAnsi" w:hAnsiTheme="minorHAnsi"/>
          <w:lang w:val="en-US"/>
        </w:rPr>
      </w:pPr>
      <w:r>
        <w:rPr>
          <w:rFonts w:asciiTheme="minorHAnsi" w:hAnsiTheme="minorHAnsi"/>
          <w:lang w:val="en-US"/>
        </w:rPr>
        <w:t>Transition period</w:t>
      </w:r>
    </w:p>
    <w:p w:rsidR="00A97CD0" w:rsidRDefault="00A97CD0" w:rsidP="00A97CD0">
      <w:pPr>
        <w:rPr>
          <w:rFonts w:asciiTheme="minorHAnsi" w:hAnsiTheme="minorHAnsi"/>
          <w:i/>
          <w:lang w:val="en-US"/>
        </w:rPr>
      </w:pPr>
      <w:r>
        <w:rPr>
          <w:rFonts w:asciiTheme="minorHAnsi" w:hAnsiTheme="minorHAnsi"/>
          <w:i/>
          <w:lang w:val="en-US"/>
        </w:rPr>
        <w:t>1 July 2013 to 1 July 2015</w:t>
      </w:r>
    </w:p>
    <w:p w:rsidR="00A97CD0" w:rsidRDefault="00A97CD0" w:rsidP="00A97CD0">
      <w:pPr>
        <w:rPr>
          <w:rFonts w:asciiTheme="minorHAnsi" w:hAnsiTheme="minorHAnsi"/>
          <w:lang w:val="en-US"/>
        </w:rPr>
      </w:pPr>
    </w:p>
    <w:p w:rsidR="00A97CD0" w:rsidRDefault="00A97CD0" w:rsidP="00A97CD0">
      <w:pPr>
        <w:rPr>
          <w:rFonts w:asciiTheme="minorHAnsi" w:eastAsiaTheme="majorEastAsia" w:hAnsiTheme="minorHAnsi"/>
          <w:b/>
          <w:bCs/>
        </w:rPr>
      </w:pPr>
      <w:r>
        <w:rPr>
          <w:rFonts w:asciiTheme="minorHAnsi" w:hAnsiTheme="minorHAnsi"/>
        </w:rPr>
        <w:br w:type="page"/>
      </w:r>
    </w:p>
    <w:p w:rsidR="00A97CD0" w:rsidRDefault="00A97CD0" w:rsidP="00A97CD0">
      <w:pPr>
        <w:pStyle w:val="Heading3"/>
        <w:rPr>
          <w:lang w:val="en-US"/>
        </w:rPr>
      </w:pPr>
      <w:bookmarkStart w:id="18" w:name="_Toc331689838"/>
      <w:r>
        <w:rPr>
          <w:lang w:val="en-US"/>
        </w:rPr>
        <w:lastRenderedPageBreak/>
        <w:t>Appendix 2: Excerpt from the Therapeutic Goods Advertising Code 2007</w:t>
      </w:r>
      <w:bookmarkEnd w:id="18"/>
    </w:p>
    <w:p w:rsidR="00A97CD0" w:rsidRDefault="00A97CD0" w:rsidP="00A97CD0">
      <w:pPr>
        <w:rPr>
          <w:b/>
        </w:rPr>
      </w:pPr>
      <w:r>
        <w:rPr>
          <w:b/>
        </w:rPr>
        <w:t xml:space="preserve">Appendix 6: </w:t>
      </w:r>
      <w:r>
        <w:rPr>
          <w:lang w:val="en-US"/>
        </w:rPr>
        <w:t xml:space="preserve"> </w:t>
      </w:r>
      <w:r>
        <w:rPr>
          <w:b/>
        </w:rPr>
        <w:t>Prohibited, Restricted Representations</w:t>
      </w:r>
    </w:p>
    <w:p w:rsidR="00A97CD0" w:rsidRDefault="00A97CD0" w:rsidP="00A97CD0">
      <w:pPr>
        <w:rPr>
          <w:rFonts w:asciiTheme="minorHAnsi" w:hAnsiTheme="minorHAnsi"/>
          <w:b/>
        </w:rPr>
      </w:pPr>
      <w:r>
        <w:rPr>
          <w:rFonts w:asciiTheme="minorHAnsi" w:hAnsiTheme="minorHAnsi"/>
          <w:b/>
        </w:rPr>
        <w:t>Part 1 – Prohibited Representations</w:t>
      </w:r>
    </w:p>
    <w:p w:rsidR="00A97CD0" w:rsidRDefault="00A97CD0" w:rsidP="00A97CD0">
      <w:pPr>
        <w:rPr>
          <w:rFonts w:asciiTheme="minorHAnsi" w:hAnsiTheme="minorHAnsi"/>
        </w:rPr>
      </w:pPr>
      <w:r>
        <w:rPr>
          <w:rFonts w:asciiTheme="minorHAnsi" w:hAnsiTheme="minorHAnsi"/>
        </w:rPr>
        <w:t>A prohibited representation is defined as:</w:t>
      </w:r>
    </w:p>
    <w:p w:rsidR="00A97CD0" w:rsidRDefault="00A97CD0" w:rsidP="00A97CD0">
      <w:pPr>
        <w:pStyle w:val="ListParagraph"/>
        <w:numPr>
          <w:ilvl w:val="0"/>
          <w:numId w:val="36"/>
        </w:numPr>
        <w:rPr>
          <w:rFonts w:asciiTheme="minorHAnsi" w:hAnsiTheme="minorHAnsi"/>
        </w:rPr>
      </w:pPr>
      <w:r>
        <w:rPr>
          <w:rFonts w:asciiTheme="minorHAnsi" w:hAnsiTheme="minorHAnsi"/>
        </w:rPr>
        <w:t xml:space="preserve">Any representation regarding </w:t>
      </w:r>
      <w:proofErr w:type="spellStart"/>
      <w:r>
        <w:rPr>
          <w:rFonts w:asciiTheme="minorHAnsi" w:hAnsiTheme="minorHAnsi"/>
        </w:rPr>
        <w:t>abortifacient</w:t>
      </w:r>
      <w:proofErr w:type="spellEnd"/>
      <w:r>
        <w:rPr>
          <w:rFonts w:asciiTheme="minorHAnsi" w:hAnsiTheme="minorHAnsi"/>
        </w:rPr>
        <w:t xml:space="preserve"> action</w:t>
      </w:r>
    </w:p>
    <w:p w:rsidR="00A97CD0" w:rsidRDefault="00A97CD0" w:rsidP="00A97CD0">
      <w:pPr>
        <w:pStyle w:val="ListParagraph"/>
        <w:numPr>
          <w:ilvl w:val="0"/>
          <w:numId w:val="36"/>
        </w:numPr>
        <w:tabs>
          <w:tab w:val="left" w:pos="284"/>
        </w:tabs>
        <w:rPr>
          <w:rFonts w:asciiTheme="minorHAnsi" w:hAnsiTheme="minorHAnsi"/>
        </w:rPr>
      </w:pPr>
      <w:r>
        <w:rPr>
          <w:rFonts w:asciiTheme="minorHAnsi" w:hAnsiTheme="minorHAnsi"/>
        </w:rPr>
        <w:t>Any representation regarding the treatment, cure or prevention of the following diseases:</w:t>
      </w:r>
    </w:p>
    <w:p w:rsidR="00A97CD0" w:rsidRDefault="00A97CD0" w:rsidP="00A97CD0">
      <w:pPr>
        <w:pStyle w:val="ListParagraph"/>
        <w:numPr>
          <w:ilvl w:val="0"/>
          <w:numId w:val="37"/>
        </w:numPr>
        <w:spacing w:line="240" w:lineRule="auto"/>
      </w:pPr>
      <w:r>
        <w:t xml:space="preserve">Neoplastic </w:t>
      </w:r>
    </w:p>
    <w:p w:rsidR="00A97CD0" w:rsidRDefault="00A97CD0" w:rsidP="00A97CD0">
      <w:pPr>
        <w:pStyle w:val="ListParagraph"/>
        <w:numPr>
          <w:ilvl w:val="0"/>
          <w:numId w:val="37"/>
        </w:numPr>
        <w:spacing w:line="240" w:lineRule="auto"/>
      </w:pPr>
      <w:r>
        <w:t>Sexually Transmitted Diseases (STD)</w:t>
      </w:r>
    </w:p>
    <w:p w:rsidR="00A97CD0" w:rsidRDefault="00A97CD0" w:rsidP="00A97CD0">
      <w:pPr>
        <w:pStyle w:val="ListParagraph"/>
        <w:numPr>
          <w:ilvl w:val="0"/>
          <w:numId w:val="37"/>
        </w:numPr>
        <w:spacing w:line="240" w:lineRule="auto"/>
      </w:pPr>
      <w:r>
        <w:t>HIV AIDS and/or HCV</w:t>
      </w:r>
    </w:p>
    <w:p w:rsidR="00A97CD0" w:rsidRDefault="00A97CD0" w:rsidP="00A97CD0">
      <w:pPr>
        <w:pStyle w:val="ListParagraph"/>
        <w:numPr>
          <w:ilvl w:val="0"/>
          <w:numId w:val="37"/>
        </w:numPr>
        <w:spacing w:line="240" w:lineRule="auto"/>
      </w:pPr>
      <w:r>
        <w:t>Mental illness</w:t>
      </w:r>
    </w:p>
    <w:p w:rsidR="00A97CD0" w:rsidRDefault="00A97CD0" w:rsidP="00A97CD0">
      <w:pPr>
        <w:rPr>
          <w:rFonts w:asciiTheme="minorHAnsi" w:hAnsiTheme="minorHAnsi"/>
          <w:b/>
          <w:bCs/>
        </w:rPr>
      </w:pPr>
      <w:r>
        <w:rPr>
          <w:rFonts w:asciiTheme="minorHAnsi" w:hAnsiTheme="minorHAnsi"/>
          <w:b/>
        </w:rPr>
        <w:t>Except</w:t>
      </w:r>
      <w:r>
        <w:rPr>
          <w:rFonts w:asciiTheme="minorHAnsi" w:hAnsiTheme="minorHAnsi"/>
        </w:rPr>
        <w:t xml:space="preserve"> for the following representations which are to become restricted representations:</w:t>
      </w:r>
    </w:p>
    <w:p w:rsidR="00A97CD0" w:rsidRDefault="00A97CD0" w:rsidP="00A97CD0">
      <w:pPr>
        <w:pStyle w:val="ListParagraph"/>
        <w:numPr>
          <w:ilvl w:val="0"/>
          <w:numId w:val="38"/>
        </w:numPr>
        <w:rPr>
          <w:rFonts w:asciiTheme="minorHAnsi" w:hAnsiTheme="minorHAnsi"/>
          <w:b/>
          <w:bCs/>
        </w:rPr>
      </w:pPr>
      <w:r>
        <w:rPr>
          <w:rFonts w:asciiTheme="minorHAnsi" w:hAnsiTheme="minorHAnsi"/>
        </w:rPr>
        <w:t>prevention of skin cancer through the use of sunscreens</w:t>
      </w:r>
    </w:p>
    <w:p w:rsidR="00A97CD0" w:rsidRDefault="00A97CD0" w:rsidP="00A97CD0">
      <w:pPr>
        <w:pStyle w:val="ListParagraph"/>
        <w:numPr>
          <w:ilvl w:val="0"/>
          <w:numId w:val="38"/>
        </w:numPr>
        <w:rPr>
          <w:rFonts w:asciiTheme="minorHAnsi" w:hAnsiTheme="minorHAnsi"/>
          <w:b/>
          <w:bCs/>
        </w:rPr>
      </w:pPr>
      <w:r>
        <w:rPr>
          <w:rFonts w:asciiTheme="minorHAnsi" w:hAnsiTheme="minorHAnsi"/>
        </w:rPr>
        <w:t>devices used in contraception or in the prevention of transmission of disease between persons</w:t>
      </w:r>
    </w:p>
    <w:p w:rsidR="00A97CD0" w:rsidRDefault="00A97CD0" w:rsidP="00A97CD0">
      <w:pPr>
        <w:rPr>
          <w:rFonts w:asciiTheme="minorHAnsi" w:hAnsiTheme="minorHAnsi"/>
          <w:b/>
        </w:rPr>
      </w:pPr>
      <w:r>
        <w:rPr>
          <w:rFonts w:asciiTheme="minorHAnsi" w:hAnsiTheme="minorHAnsi"/>
          <w:b/>
        </w:rPr>
        <w:t>Part 2 – Restricted Representations</w:t>
      </w:r>
    </w:p>
    <w:p w:rsidR="00A97CD0" w:rsidRDefault="00A97CD0" w:rsidP="00A97CD0">
      <w:pPr>
        <w:rPr>
          <w:rFonts w:asciiTheme="minorHAnsi" w:hAnsiTheme="minorHAnsi"/>
        </w:rPr>
      </w:pPr>
      <w:r>
        <w:rPr>
          <w:rFonts w:asciiTheme="minorHAnsi" w:hAnsiTheme="minorHAnsi"/>
        </w:rPr>
        <w:t>An advertisement for therapeutic goods may refer, expressly or by implication, to a disease, condition, ailment or defect specified in Table 1, provided that prior approval is obtained for</w:t>
      </w:r>
      <w:r>
        <w:rPr>
          <w:rFonts w:asciiTheme="minorHAnsi" w:hAnsiTheme="minorHAnsi"/>
          <w:b/>
          <w:bCs/>
        </w:rPr>
        <w:t xml:space="preserve"> </w:t>
      </w:r>
      <w:r>
        <w:rPr>
          <w:rFonts w:asciiTheme="minorHAnsi" w:hAnsiTheme="minorHAnsi"/>
        </w:rPr>
        <w:t>such a reference</w:t>
      </w:r>
      <w:r>
        <w:rPr>
          <w:rFonts w:asciiTheme="minorHAnsi" w:hAnsiTheme="minorHAnsi"/>
          <w:b/>
          <w:bCs/>
        </w:rPr>
        <w:t xml:space="preserve">.  </w:t>
      </w:r>
      <w:r>
        <w:rPr>
          <w:rFonts w:asciiTheme="minorHAnsi" w:hAnsiTheme="minorHAnsi"/>
        </w:rPr>
        <w:t xml:space="preserve">Approval may be obtained from the TGA, upon recommendation from the TGACC and appropriate expert committee or committees. </w:t>
      </w:r>
    </w:p>
    <w:p w:rsidR="00A97CD0" w:rsidRDefault="00A97CD0" w:rsidP="00A97CD0">
      <w:pPr>
        <w:rPr>
          <w:rFonts w:asciiTheme="minorHAnsi" w:hAnsiTheme="minorHAnsi"/>
          <w:b/>
        </w:rPr>
      </w:pPr>
      <w:r>
        <w:rPr>
          <w:rFonts w:asciiTheme="minorHAnsi" w:hAnsiTheme="minorHAnsi"/>
          <w:b/>
        </w:rPr>
        <w:t>Table 1.  Diseases, conditions, ailments and defects for which the advertising of serious forms is restricted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A97CD0" w:rsidTr="00A97CD0">
        <w:tc>
          <w:tcPr>
            <w:tcW w:w="4360" w:type="dxa"/>
            <w:hideMark/>
          </w:tcPr>
          <w:p w:rsidR="00A97CD0" w:rsidRDefault="00A97CD0" w:rsidP="00A97CD0">
            <w:pPr>
              <w:pStyle w:val="ListParagraph"/>
              <w:numPr>
                <w:ilvl w:val="0"/>
                <w:numId w:val="39"/>
              </w:numPr>
              <w:rPr>
                <w:rFonts w:asciiTheme="minorHAnsi" w:hAnsiTheme="minorHAnsi"/>
              </w:rPr>
            </w:pPr>
            <w:r>
              <w:rPr>
                <w:rFonts w:asciiTheme="minorHAnsi" w:hAnsiTheme="minorHAnsi"/>
              </w:rPr>
              <w:t>Cardiovascular diseases</w:t>
            </w:r>
          </w:p>
          <w:p w:rsidR="00A97CD0" w:rsidRDefault="00A97CD0" w:rsidP="00A97CD0">
            <w:pPr>
              <w:pStyle w:val="ListParagraph"/>
              <w:numPr>
                <w:ilvl w:val="0"/>
                <w:numId w:val="40"/>
              </w:numPr>
              <w:rPr>
                <w:rFonts w:asciiTheme="minorHAnsi" w:hAnsiTheme="minorHAnsi"/>
                <w:i/>
                <w:iCs/>
              </w:rPr>
            </w:pPr>
            <w:r>
              <w:rPr>
                <w:rFonts w:asciiTheme="minorHAnsi" w:hAnsiTheme="minorHAnsi"/>
              </w:rPr>
              <w:t>Dental and periodontal diseases</w:t>
            </w:r>
          </w:p>
          <w:p w:rsidR="00A97CD0" w:rsidRDefault="00A97CD0" w:rsidP="00A97CD0">
            <w:pPr>
              <w:pStyle w:val="ListParagraph"/>
              <w:numPr>
                <w:ilvl w:val="0"/>
                <w:numId w:val="40"/>
              </w:numPr>
              <w:rPr>
                <w:rFonts w:asciiTheme="minorHAnsi" w:hAnsiTheme="minorHAnsi"/>
              </w:rPr>
            </w:pPr>
            <w:r>
              <w:rPr>
                <w:rFonts w:asciiTheme="minorHAnsi" w:hAnsiTheme="minorHAnsi"/>
              </w:rPr>
              <w:t>Diseases of joint, bone, collagen, and rheumatic disease</w:t>
            </w:r>
          </w:p>
          <w:p w:rsidR="00A97CD0" w:rsidRDefault="00A97CD0" w:rsidP="00A97CD0">
            <w:pPr>
              <w:pStyle w:val="ListParagraph"/>
              <w:numPr>
                <w:ilvl w:val="0"/>
                <w:numId w:val="40"/>
              </w:numPr>
              <w:rPr>
                <w:rFonts w:asciiTheme="minorHAnsi" w:hAnsiTheme="minorHAnsi"/>
              </w:rPr>
            </w:pPr>
            <w:r>
              <w:rPr>
                <w:rFonts w:asciiTheme="minorHAnsi" w:hAnsiTheme="minorHAnsi"/>
              </w:rPr>
              <w:t>Diseases of the eye or ear likely to lead to blindness or deafness</w:t>
            </w:r>
          </w:p>
          <w:p w:rsidR="00A97CD0" w:rsidRDefault="00A97CD0" w:rsidP="00A97CD0">
            <w:pPr>
              <w:pStyle w:val="ListParagraph"/>
              <w:numPr>
                <w:ilvl w:val="0"/>
                <w:numId w:val="40"/>
              </w:numPr>
              <w:rPr>
                <w:rFonts w:asciiTheme="minorHAnsi" w:hAnsiTheme="minorHAnsi"/>
                <w:bCs/>
              </w:rPr>
            </w:pPr>
            <w:r>
              <w:rPr>
                <w:rFonts w:asciiTheme="minorHAnsi" w:hAnsiTheme="minorHAnsi"/>
              </w:rPr>
              <w:t>Diseases of the liver, biliary system or pancreas</w:t>
            </w:r>
          </w:p>
          <w:p w:rsidR="00A97CD0" w:rsidRDefault="00A97CD0" w:rsidP="00A97CD0">
            <w:pPr>
              <w:pStyle w:val="ListParagraph"/>
              <w:numPr>
                <w:ilvl w:val="0"/>
                <w:numId w:val="40"/>
              </w:numPr>
              <w:rPr>
                <w:rFonts w:asciiTheme="minorHAnsi" w:hAnsiTheme="minorHAnsi"/>
                <w:bCs/>
              </w:rPr>
            </w:pPr>
            <w:r>
              <w:rPr>
                <w:rFonts w:asciiTheme="minorHAnsi" w:hAnsiTheme="minorHAnsi"/>
              </w:rPr>
              <w:t>Endocrine diseases and conditions including diabetes and prostatic disease</w:t>
            </w:r>
          </w:p>
          <w:p w:rsidR="00A97CD0" w:rsidRDefault="00A97CD0" w:rsidP="00A97CD0">
            <w:pPr>
              <w:pStyle w:val="ListParagraph"/>
              <w:numPr>
                <w:ilvl w:val="0"/>
                <w:numId w:val="40"/>
              </w:numPr>
              <w:rPr>
                <w:rFonts w:asciiTheme="minorHAnsi" w:hAnsiTheme="minorHAnsi"/>
                <w:bCs/>
              </w:rPr>
            </w:pPr>
            <w:r>
              <w:rPr>
                <w:rFonts w:asciiTheme="minorHAnsi" w:hAnsiTheme="minorHAnsi"/>
              </w:rPr>
              <w:t>Gastrointestinal diseases or disorder</w:t>
            </w:r>
          </w:p>
        </w:tc>
        <w:tc>
          <w:tcPr>
            <w:tcW w:w="4360" w:type="dxa"/>
            <w:hideMark/>
          </w:tcPr>
          <w:p w:rsidR="00A97CD0" w:rsidRDefault="00A97CD0" w:rsidP="00A97CD0">
            <w:pPr>
              <w:pStyle w:val="ListParagraph"/>
              <w:numPr>
                <w:ilvl w:val="0"/>
                <w:numId w:val="40"/>
              </w:numPr>
              <w:rPr>
                <w:rFonts w:asciiTheme="minorHAnsi" w:hAnsiTheme="minorHAnsi"/>
                <w:i/>
                <w:iCs/>
              </w:rPr>
            </w:pPr>
            <w:r>
              <w:rPr>
                <w:rFonts w:asciiTheme="minorHAnsi" w:hAnsiTheme="minorHAnsi"/>
              </w:rPr>
              <w:t>Haematological diseases</w:t>
            </w:r>
          </w:p>
          <w:p w:rsidR="00A97CD0" w:rsidRDefault="00A97CD0" w:rsidP="00A97CD0">
            <w:pPr>
              <w:pStyle w:val="ListParagraph"/>
              <w:numPr>
                <w:ilvl w:val="0"/>
                <w:numId w:val="40"/>
              </w:numPr>
              <w:rPr>
                <w:rFonts w:asciiTheme="minorHAnsi" w:hAnsiTheme="minorHAnsi"/>
                <w:strike/>
              </w:rPr>
            </w:pPr>
            <w:r>
              <w:rPr>
                <w:rFonts w:asciiTheme="minorHAnsi" w:hAnsiTheme="minorHAnsi"/>
              </w:rPr>
              <w:t>Infectious diseases</w:t>
            </w:r>
          </w:p>
          <w:p w:rsidR="00A97CD0" w:rsidRDefault="00A97CD0" w:rsidP="00A97CD0">
            <w:pPr>
              <w:pStyle w:val="ListParagraph"/>
              <w:numPr>
                <w:ilvl w:val="0"/>
                <w:numId w:val="40"/>
              </w:numPr>
              <w:rPr>
                <w:rFonts w:asciiTheme="minorHAnsi" w:hAnsiTheme="minorHAnsi"/>
                <w:strike/>
              </w:rPr>
            </w:pPr>
            <w:r>
              <w:rPr>
                <w:rFonts w:asciiTheme="minorHAnsi" w:hAnsiTheme="minorHAnsi"/>
              </w:rPr>
              <w:t>Immunological diseases</w:t>
            </w:r>
          </w:p>
          <w:p w:rsidR="00A97CD0" w:rsidRDefault="00A97CD0" w:rsidP="00A97CD0">
            <w:pPr>
              <w:pStyle w:val="ListParagraph"/>
              <w:numPr>
                <w:ilvl w:val="0"/>
                <w:numId w:val="40"/>
              </w:numPr>
              <w:rPr>
                <w:rFonts w:asciiTheme="minorHAnsi" w:hAnsiTheme="minorHAnsi"/>
              </w:rPr>
            </w:pPr>
            <w:r>
              <w:rPr>
                <w:rFonts w:asciiTheme="minorHAnsi" w:hAnsiTheme="minorHAnsi"/>
              </w:rPr>
              <w:t>Mental disturbances</w:t>
            </w:r>
          </w:p>
          <w:p w:rsidR="00A97CD0" w:rsidRDefault="00A97CD0" w:rsidP="00A97CD0">
            <w:pPr>
              <w:pStyle w:val="ListParagraph"/>
              <w:numPr>
                <w:ilvl w:val="0"/>
                <w:numId w:val="40"/>
              </w:numPr>
              <w:rPr>
                <w:rFonts w:asciiTheme="minorHAnsi" w:hAnsiTheme="minorHAnsi"/>
                <w:b/>
                <w:bCs/>
              </w:rPr>
            </w:pPr>
            <w:r>
              <w:rPr>
                <w:rFonts w:asciiTheme="minorHAnsi" w:hAnsiTheme="minorHAnsi"/>
              </w:rPr>
              <w:t>Metabolic disorders</w:t>
            </w:r>
          </w:p>
          <w:p w:rsidR="00A97CD0" w:rsidRDefault="00A97CD0" w:rsidP="00A97CD0">
            <w:pPr>
              <w:pStyle w:val="ListParagraph"/>
              <w:numPr>
                <w:ilvl w:val="0"/>
                <w:numId w:val="40"/>
              </w:numPr>
              <w:rPr>
                <w:rFonts w:asciiTheme="minorHAnsi" w:hAnsiTheme="minorHAnsi"/>
                <w:b/>
                <w:bCs/>
              </w:rPr>
            </w:pPr>
            <w:proofErr w:type="spellStart"/>
            <w:r>
              <w:rPr>
                <w:rFonts w:asciiTheme="minorHAnsi" w:hAnsiTheme="minorHAnsi"/>
              </w:rPr>
              <w:t>Musculo</w:t>
            </w:r>
            <w:proofErr w:type="spellEnd"/>
            <w:r>
              <w:rPr>
                <w:rFonts w:asciiTheme="minorHAnsi" w:hAnsiTheme="minorHAnsi"/>
              </w:rPr>
              <w:t>-skeletal diseases</w:t>
            </w:r>
          </w:p>
          <w:p w:rsidR="00A97CD0" w:rsidRDefault="00A97CD0" w:rsidP="00A97CD0">
            <w:pPr>
              <w:pStyle w:val="ListParagraph"/>
              <w:numPr>
                <w:ilvl w:val="0"/>
                <w:numId w:val="40"/>
              </w:numPr>
              <w:rPr>
                <w:rFonts w:asciiTheme="minorHAnsi" w:hAnsiTheme="minorHAnsi"/>
              </w:rPr>
            </w:pPr>
            <w:r>
              <w:rPr>
                <w:rFonts w:asciiTheme="minorHAnsi" w:hAnsiTheme="minorHAnsi"/>
              </w:rPr>
              <w:t>Nervous system diseases</w:t>
            </w:r>
          </w:p>
          <w:p w:rsidR="00A97CD0" w:rsidRDefault="00A97CD0" w:rsidP="00A97CD0">
            <w:pPr>
              <w:pStyle w:val="ListParagraph"/>
              <w:numPr>
                <w:ilvl w:val="0"/>
                <w:numId w:val="40"/>
              </w:numPr>
              <w:rPr>
                <w:rFonts w:asciiTheme="minorHAnsi" w:hAnsiTheme="minorHAnsi"/>
              </w:rPr>
            </w:pPr>
            <w:r>
              <w:rPr>
                <w:rFonts w:asciiTheme="minorHAnsi" w:hAnsiTheme="minorHAnsi"/>
              </w:rPr>
              <w:t>Poisoning, venomous bites and stings</w:t>
            </w:r>
          </w:p>
          <w:p w:rsidR="00A97CD0" w:rsidRDefault="00A97CD0" w:rsidP="00A97CD0">
            <w:pPr>
              <w:pStyle w:val="ListParagraph"/>
              <w:numPr>
                <w:ilvl w:val="0"/>
                <w:numId w:val="40"/>
              </w:numPr>
              <w:rPr>
                <w:rFonts w:asciiTheme="minorHAnsi" w:hAnsiTheme="minorHAnsi"/>
              </w:rPr>
            </w:pPr>
            <w:r>
              <w:rPr>
                <w:rFonts w:asciiTheme="minorHAnsi" w:hAnsiTheme="minorHAnsi"/>
              </w:rPr>
              <w:t>Renal diseases</w:t>
            </w:r>
          </w:p>
          <w:p w:rsidR="00A97CD0" w:rsidRDefault="00A97CD0" w:rsidP="00A97CD0">
            <w:pPr>
              <w:pStyle w:val="ListParagraph"/>
              <w:numPr>
                <w:ilvl w:val="0"/>
                <w:numId w:val="40"/>
              </w:numPr>
              <w:rPr>
                <w:rFonts w:asciiTheme="minorHAnsi" w:hAnsiTheme="minorHAnsi"/>
              </w:rPr>
            </w:pPr>
            <w:r>
              <w:rPr>
                <w:rFonts w:asciiTheme="minorHAnsi" w:hAnsiTheme="minorHAnsi"/>
              </w:rPr>
              <w:t>Respiratory diseases</w:t>
            </w:r>
          </w:p>
          <w:p w:rsidR="00A97CD0" w:rsidRDefault="00A97CD0" w:rsidP="00A97CD0">
            <w:pPr>
              <w:pStyle w:val="ListParagraph"/>
              <w:numPr>
                <w:ilvl w:val="0"/>
                <w:numId w:val="40"/>
              </w:numPr>
              <w:rPr>
                <w:rFonts w:asciiTheme="minorHAnsi" w:hAnsiTheme="minorHAnsi"/>
              </w:rPr>
            </w:pPr>
            <w:r>
              <w:rPr>
                <w:rFonts w:asciiTheme="minorHAnsi" w:hAnsiTheme="minorHAnsi"/>
              </w:rPr>
              <w:t>Skin diseases</w:t>
            </w:r>
          </w:p>
          <w:p w:rsidR="00A97CD0" w:rsidRDefault="00A97CD0" w:rsidP="00A97CD0">
            <w:pPr>
              <w:pStyle w:val="ListParagraph"/>
              <w:numPr>
                <w:ilvl w:val="0"/>
                <w:numId w:val="40"/>
              </w:numPr>
              <w:rPr>
                <w:rFonts w:asciiTheme="minorHAnsi" w:hAnsiTheme="minorHAnsi"/>
                <w:b/>
              </w:rPr>
            </w:pPr>
            <w:r>
              <w:rPr>
                <w:rFonts w:asciiTheme="minorHAnsi" w:hAnsiTheme="minorHAnsi"/>
              </w:rPr>
              <w:t>Substance dependence</w:t>
            </w:r>
          </w:p>
          <w:p w:rsidR="00A97CD0" w:rsidRDefault="00A97CD0" w:rsidP="00A97CD0">
            <w:pPr>
              <w:pStyle w:val="ListParagraph"/>
              <w:numPr>
                <w:ilvl w:val="0"/>
                <w:numId w:val="40"/>
              </w:numPr>
              <w:rPr>
                <w:rFonts w:asciiTheme="minorHAnsi" w:hAnsiTheme="minorHAnsi"/>
                <w:b/>
              </w:rPr>
            </w:pPr>
            <w:r>
              <w:rPr>
                <w:rFonts w:asciiTheme="minorHAnsi" w:hAnsiTheme="minorHAnsi"/>
              </w:rPr>
              <w:t>Urogenital diseases and conditions</w:t>
            </w:r>
          </w:p>
        </w:tc>
      </w:tr>
    </w:tbl>
    <w:p w:rsidR="00A97CD0" w:rsidRDefault="00A97CD0" w:rsidP="00A97CD0">
      <w:pPr>
        <w:rPr>
          <w:rFonts w:asciiTheme="minorHAnsi" w:hAnsiTheme="minorHAnsi"/>
        </w:rPr>
      </w:pPr>
      <w:r>
        <w:rPr>
          <w:rFonts w:asciiTheme="minorHAnsi" w:hAnsiTheme="minorHAnsi"/>
          <w:b/>
          <w:bCs/>
          <w:i/>
          <w:iCs/>
        </w:rPr>
        <w:t>Serious</w:t>
      </w:r>
      <w:r>
        <w:rPr>
          <w:rFonts w:asciiTheme="minorHAnsi" w:hAnsiTheme="minorHAnsi"/>
        </w:rPr>
        <w:t xml:space="preserve"> in the context of this table will mean forms of those diseases, conditions, ailments or defects which are: </w:t>
      </w:r>
    </w:p>
    <w:p w:rsidR="00A97CD0" w:rsidRDefault="00A97CD0" w:rsidP="00A97CD0">
      <w:pPr>
        <w:pStyle w:val="ListParagraph"/>
        <w:numPr>
          <w:ilvl w:val="0"/>
          <w:numId w:val="41"/>
        </w:numPr>
        <w:rPr>
          <w:rFonts w:asciiTheme="minorHAnsi" w:hAnsiTheme="minorHAnsi"/>
        </w:rPr>
      </w:pPr>
      <w:r>
        <w:rPr>
          <w:rFonts w:asciiTheme="minorHAnsi" w:hAnsiTheme="minorHAnsi"/>
        </w:rPr>
        <w:t>Generally accepted not to be appropriate to be diagnosed and/or treated without consulting a suitably qualified healthcare professional, and/or</w:t>
      </w:r>
    </w:p>
    <w:p w:rsidR="00E41844" w:rsidRDefault="00A97CD0" w:rsidP="00A97CD0">
      <w:pPr>
        <w:spacing w:before="0" w:after="0" w:line="240" w:lineRule="auto"/>
        <w:rPr>
          <w:sz w:val="20"/>
        </w:rPr>
      </w:pPr>
      <w:r>
        <w:rPr>
          <w:rFonts w:asciiTheme="minorHAnsi" w:hAnsiTheme="minorHAnsi"/>
        </w:rPr>
        <w:t>Generally accepted to be beyond the ability of the average consumer to evaluate accurately and to treat safely without regular supervision by a qualified healthcare professional.</w:t>
      </w: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2A2EB0" w:rsidRDefault="002A2EB0" w:rsidP="00706634">
      <w:pPr>
        <w:spacing w:before="0" w:after="0" w:line="240" w:lineRule="auto"/>
        <w:rPr>
          <w:sz w:val="20"/>
        </w:rPr>
      </w:pPr>
    </w:p>
    <w:p w:rsidR="007A33BC" w:rsidRDefault="007A33BC" w:rsidP="00706634">
      <w:pPr>
        <w:spacing w:before="0" w:after="0" w:line="240" w:lineRule="auto"/>
        <w:rPr>
          <w:sz w:val="20"/>
        </w:rPr>
      </w:pPr>
    </w:p>
    <w:p w:rsidR="007A33BC" w:rsidRDefault="007A33BC" w:rsidP="00706634">
      <w:pPr>
        <w:spacing w:before="0" w:after="0" w:line="240" w:lineRule="auto"/>
        <w:rPr>
          <w:sz w:val="20"/>
        </w:rPr>
      </w:pPr>
    </w:p>
    <w:p w:rsidR="00695145" w:rsidRDefault="00695145" w:rsidP="00706634">
      <w:pPr>
        <w:spacing w:before="0" w:after="0" w:line="240" w:lineRule="auto"/>
        <w:rPr>
          <w:sz w:val="20"/>
        </w:rPr>
      </w:pPr>
    </w:p>
    <w:p w:rsidR="007A33BC" w:rsidRDefault="007A33BC" w:rsidP="00706634">
      <w:pPr>
        <w:spacing w:before="0" w:after="0" w:line="240" w:lineRule="auto"/>
        <w:rPr>
          <w:sz w:val="20"/>
        </w:rPr>
      </w:pPr>
    </w:p>
    <w:p w:rsidR="00695145" w:rsidRDefault="00695145" w:rsidP="00706634">
      <w:pPr>
        <w:spacing w:before="0" w:after="0" w:line="240" w:lineRule="auto"/>
        <w:rPr>
          <w:sz w:val="20"/>
        </w:rPr>
      </w:pPr>
    </w:p>
    <w:p w:rsidR="007A33BC" w:rsidRPr="006F652C" w:rsidRDefault="007A33BC" w:rsidP="00706634">
      <w:pPr>
        <w:spacing w:before="0" w:after="0" w:line="240" w:lineRule="auto"/>
        <w:rPr>
          <w:sz w:val="20"/>
        </w:rPr>
        <w:sectPr w:rsidR="007A33BC" w:rsidRPr="006F652C" w:rsidSect="00493FF6">
          <w:footerReference w:type="default" r:id="rId27"/>
          <w:pgSz w:w="11906" w:h="16838" w:code="9"/>
          <w:pgMar w:top="1418" w:right="1701" w:bottom="709" w:left="1701" w:header="573" w:footer="0" w:gutter="0"/>
          <w:cols w:space="708"/>
          <w:docGrid w:linePitch="360"/>
        </w:sectPr>
      </w:pPr>
    </w:p>
    <w:tbl>
      <w:tblPr>
        <w:tblW w:w="9145" w:type="dxa"/>
        <w:jc w:val="center"/>
        <w:tblInd w:w="-284" w:type="dxa"/>
        <w:tblLayout w:type="fixed"/>
        <w:tblCellMar>
          <w:left w:w="0" w:type="dxa"/>
          <w:right w:w="0" w:type="dxa"/>
        </w:tblCellMar>
        <w:tblLook w:val="04A0" w:firstRow="1" w:lastRow="0" w:firstColumn="1" w:lastColumn="0" w:noHBand="0" w:noVBand="1"/>
      </w:tblPr>
      <w:tblGrid>
        <w:gridCol w:w="9145"/>
      </w:tblGrid>
      <w:tr w:rsidR="006A38E4" w:rsidRPr="00487162" w:rsidTr="00E47660">
        <w:trPr>
          <w:trHeight w:hRule="exact" w:val="565"/>
          <w:jc w:val="center"/>
        </w:trPr>
        <w:tc>
          <w:tcPr>
            <w:tcW w:w="9145" w:type="dxa"/>
          </w:tcPr>
          <w:p w:rsidR="00A97CD0" w:rsidRDefault="00A97CD0" w:rsidP="008C63C5">
            <w:pPr>
              <w:pStyle w:val="TGASignoff"/>
            </w:pPr>
          </w:p>
          <w:p w:rsidR="00A97CD0" w:rsidRDefault="00A97CD0" w:rsidP="008C63C5">
            <w:pPr>
              <w:pStyle w:val="TGASignoff"/>
            </w:pPr>
          </w:p>
          <w:p w:rsidR="00A97CD0" w:rsidRDefault="00A97CD0" w:rsidP="008C63C5">
            <w:pPr>
              <w:pStyle w:val="TGASignoff"/>
            </w:pPr>
          </w:p>
          <w:p w:rsidR="00A97CD0" w:rsidRDefault="00A97CD0" w:rsidP="008C63C5">
            <w:pPr>
              <w:pStyle w:val="TGASignoff"/>
            </w:pPr>
          </w:p>
          <w:p w:rsidR="00A97CD0" w:rsidRDefault="00A97CD0" w:rsidP="008C63C5">
            <w:pPr>
              <w:pStyle w:val="TGASignoff"/>
            </w:pPr>
          </w:p>
          <w:p w:rsidR="006A38E4" w:rsidRPr="00487162" w:rsidRDefault="006A38E4" w:rsidP="008C63C5">
            <w:pPr>
              <w:pStyle w:val="TGASignoff"/>
            </w:pPr>
            <w:r w:rsidRPr="00487162">
              <w:t>Therapeutic Goods Administration</w:t>
            </w:r>
          </w:p>
        </w:tc>
      </w:tr>
      <w:tr w:rsidR="006A38E4" w:rsidRPr="00487162" w:rsidTr="00E47660">
        <w:trPr>
          <w:trHeight w:val="1284"/>
          <w:jc w:val="center"/>
        </w:trPr>
        <w:tc>
          <w:tcPr>
            <w:tcW w:w="9145" w:type="dxa"/>
            <w:tcMar>
              <w:top w:w="28" w:type="dxa"/>
            </w:tcMar>
          </w:tcPr>
          <w:p w:rsidR="006A38E4" w:rsidRPr="00140FE3" w:rsidRDefault="006A38E4" w:rsidP="008C63C5">
            <w:pPr>
              <w:pStyle w:val="Address"/>
              <w:jc w:val="center"/>
            </w:pPr>
            <w:r w:rsidRPr="00140FE3">
              <w:t>PO Bo</w:t>
            </w:r>
            <w:r w:rsidRPr="006F652C">
              <w:t>x 100 Woden ACT 2606 A</w:t>
            </w:r>
            <w:r w:rsidRPr="00140FE3">
              <w:t>ustralia</w:t>
            </w:r>
          </w:p>
          <w:p w:rsidR="006A38E4" w:rsidRPr="00140FE3" w:rsidRDefault="006A38E4" w:rsidP="008C63C5">
            <w:pPr>
              <w:pStyle w:val="Address"/>
              <w:jc w:val="center"/>
            </w:pPr>
            <w:r w:rsidRPr="00140FE3">
              <w:t>Email: info@tga.gov.au  Phone: 1800 020 653  Fax: 02 6232 8605</w:t>
            </w:r>
          </w:p>
          <w:p w:rsidR="006A38E4" w:rsidRPr="005423EF" w:rsidRDefault="00FD507B" w:rsidP="008C63C5">
            <w:pPr>
              <w:pStyle w:val="Address"/>
              <w:spacing w:line="260" w:lineRule="atLeast"/>
              <w:jc w:val="center"/>
              <w:rPr>
                <w:rStyle w:val="Hyperlink"/>
                <w:b/>
              </w:rPr>
            </w:pPr>
            <w:hyperlink r:id="rId28" w:history="1">
              <w:r w:rsidR="006A38E4" w:rsidRPr="005423EF">
                <w:rPr>
                  <w:rStyle w:val="Hyperlink"/>
                  <w:b/>
                </w:rPr>
                <w:t>www.tga.gov.au</w:t>
              </w:r>
            </w:hyperlink>
          </w:p>
          <w:p w:rsidR="006A38E4" w:rsidRPr="00487162" w:rsidRDefault="002A2EB0" w:rsidP="00E47660">
            <w:pPr>
              <w:pStyle w:val="Reference"/>
              <w:jc w:val="center"/>
            </w:pPr>
            <w:r>
              <w:t>TRIM R12/960993</w:t>
            </w:r>
          </w:p>
        </w:tc>
      </w:tr>
    </w:tbl>
    <w:p w:rsidR="00706634" w:rsidRPr="001525B4" w:rsidRDefault="00706634" w:rsidP="00120C12">
      <w:pPr>
        <w:rPr>
          <w:sz w:val="20"/>
        </w:rPr>
      </w:pPr>
    </w:p>
    <w:sectPr w:rsidR="00706634" w:rsidRPr="001525B4" w:rsidSect="00703CA4">
      <w:headerReference w:type="first" r:id="rId29"/>
      <w:footerReference w:type="first" r:id="rId30"/>
      <w:type w:val="continuous"/>
      <w:pgSz w:w="11906" w:h="16838" w:code="9"/>
      <w:pgMar w:top="13892" w:right="1701" w:bottom="567" w:left="1701" w:header="1134"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7B" w:rsidRDefault="00FD507B" w:rsidP="00C40A36">
      <w:pPr>
        <w:spacing w:after="0"/>
      </w:pPr>
      <w:r>
        <w:separator/>
      </w:r>
    </w:p>
  </w:endnote>
  <w:endnote w:type="continuationSeparator" w:id="0">
    <w:p w:rsidR="00FD507B" w:rsidRDefault="00FD507B" w:rsidP="00C4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D507B" w:rsidRPr="00257138" w:rsidTr="000B30E5">
      <w:trPr>
        <w:trHeight w:val="423"/>
      </w:trPr>
      <w:tc>
        <w:tcPr>
          <w:tcW w:w="4360" w:type="dxa"/>
          <w:tcBorders>
            <w:top w:val="single" w:sz="4" w:space="0" w:color="auto"/>
          </w:tcBorders>
        </w:tcPr>
        <w:p w:rsidR="00FD507B" w:rsidRDefault="00FD507B" w:rsidP="000B30E5">
          <w:pPr>
            <w:pStyle w:val="Footer"/>
          </w:pPr>
        </w:p>
        <w:p w:rsidR="00FD507B" w:rsidRPr="00257138" w:rsidRDefault="00FD507B" w:rsidP="00406DB9">
          <w:pPr>
            <w:pStyle w:val="Footer"/>
          </w:pPr>
          <w:r w:rsidRPr="00257138">
            <w:t>Document title</w:t>
          </w:r>
        </w:p>
      </w:tc>
      <w:tc>
        <w:tcPr>
          <w:tcW w:w="4360" w:type="dxa"/>
          <w:tcBorders>
            <w:top w:val="single" w:sz="4" w:space="0" w:color="auto"/>
          </w:tcBorders>
        </w:tcPr>
        <w:sdt>
          <w:sdtPr>
            <w:id w:val="1465552092"/>
            <w:docPartObj>
              <w:docPartGallery w:val="Page Numbers (Top of Page)"/>
              <w:docPartUnique/>
            </w:docPartObj>
          </w:sdtPr>
          <w:sdtContent>
            <w:p w:rsidR="00FD507B" w:rsidRDefault="00FD507B" w:rsidP="000B30E5">
              <w:pPr>
                <w:pStyle w:val="Footer"/>
                <w:jc w:val="right"/>
              </w:pPr>
            </w:p>
            <w:p w:rsidR="00FD507B" w:rsidRPr="00257138" w:rsidRDefault="00FD507B" w:rsidP="000B30E5">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20</w:t>
                </w:r>
              </w:fldSimple>
            </w:p>
          </w:sdtContent>
        </w:sdt>
      </w:tc>
    </w:tr>
    <w:tr w:rsidR="00FD507B" w:rsidRPr="00257138" w:rsidTr="000B30E5">
      <w:trPr>
        <w:trHeight w:val="263"/>
      </w:trPr>
      <w:tc>
        <w:tcPr>
          <w:tcW w:w="4360" w:type="dxa"/>
        </w:tcPr>
        <w:p w:rsidR="00FD507B" w:rsidRPr="00257138" w:rsidRDefault="00FD507B" w:rsidP="000B30E5">
          <w:pPr>
            <w:pStyle w:val="Footer"/>
          </w:pPr>
          <w:r w:rsidRPr="00257138">
            <w:t xml:space="preserve">V1.0 </w:t>
          </w:r>
          <w:r>
            <w:t>Month</w:t>
          </w:r>
          <w:r w:rsidRPr="00257138">
            <w:t xml:space="preserve"> 201</w:t>
          </w:r>
          <w:r>
            <w:t>2</w:t>
          </w:r>
        </w:p>
      </w:tc>
      <w:tc>
        <w:tcPr>
          <w:tcW w:w="4360" w:type="dxa"/>
        </w:tcPr>
        <w:p w:rsidR="00FD507B" w:rsidRPr="00257138" w:rsidRDefault="00FD507B" w:rsidP="000B30E5">
          <w:pPr>
            <w:pStyle w:val="Footer"/>
            <w:jc w:val="right"/>
          </w:pPr>
        </w:p>
      </w:tc>
    </w:tr>
  </w:tbl>
  <w:p w:rsidR="00FD507B" w:rsidRPr="00826007" w:rsidRDefault="00FD507B" w:rsidP="000B30E5">
    <w:pPr>
      <w:pStyle w:val="Footer"/>
      <w:tabs>
        <w:tab w:val="left" w:pos="7620"/>
        <w:tab w:val="right" w:pos="8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7B" w:rsidRDefault="00FD507B" w:rsidP="00816164">
    <w:pPr>
      <w:pStyle w:val="Footer"/>
      <w:ind w:left="-170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382"/>
    </w:tblGrid>
    <w:tr w:rsidR="00FD507B" w:rsidRPr="00257138" w:rsidTr="002C76AB">
      <w:trPr>
        <w:trHeight w:val="423"/>
      </w:trPr>
      <w:tc>
        <w:tcPr>
          <w:tcW w:w="7338" w:type="dxa"/>
          <w:tcBorders>
            <w:top w:val="single" w:sz="4" w:space="0" w:color="auto"/>
          </w:tcBorders>
        </w:tcPr>
        <w:p w:rsidR="00FD507B" w:rsidRDefault="00FD507B" w:rsidP="002C76AB">
          <w:pPr>
            <w:pStyle w:val="Footer"/>
          </w:pPr>
        </w:p>
        <w:p w:rsidR="00FD507B" w:rsidRPr="00257138" w:rsidRDefault="00FD507B" w:rsidP="00A97CD0">
          <w:pPr>
            <w:pStyle w:val="Footer"/>
          </w:pPr>
          <w:r>
            <w:t>Standard/coded indications project</w:t>
          </w:r>
          <w:r w:rsidRPr="00257138">
            <w:t xml:space="preserve"> </w:t>
          </w:r>
          <w:r>
            <w:t>TRIM R12/960993</w:t>
          </w:r>
        </w:p>
      </w:tc>
      <w:tc>
        <w:tcPr>
          <w:tcW w:w="1382" w:type="dxa"/>
          <w:tcBorders>
            <w:top w:val="single" w:sz="4" w:space="0" w:color="auto"/>
          </w:tcBorders>
        </w:tcPr>
        <w:sdt>
          <w:sdtPr>
            <w:id w:val="5342773"/>
            <w:docPartObj>
              <w:docPartGallery w:val="Page Numbers (Top of Page)"/>
              <w:docPartUnique/>
            </w:docPartObj>
          </w:sdtPr>
          <w:sdtContent>
            <w:p w:rsidR="00FD507B" w:rsidRDefault="00FD507B" w:rsidP="002C76AB">
              <w:pPr>
                <w:pStyle w:val="Footer"/>
                <w:jc w:val="right"/>
              </w:pPr>
            </w:p>
            <w:p w:rsidR="00FD507B" w:rsidRPr="00257138" w:rsidRDefault="00FD507B" w:rsidP="002C76AB">
              <w:pPr>
                <w:pStyle w:val="Footer"/>
                <w:jc w:val="right"/>
              </w:pPr>
              <w:r w:rsidRPr="00257138">
                <w:t xml:space="preserve">Page </w:t>
              </w:r>
              <w:r>
                <w:fldChar w:fldCharType="begin"/>
              </w:r>
              <w:r>
                <w:instrText xml:space="preserve"> PAGE </w:instrText>
              </w:r>
              <w:r>
                <w:fldChar w:fldCharType="separate"/>
              </w:r>
              <w:r w:rsidR="00D57A9B">
                <w:rPr>
                  <w:noProof/>
                </w:rPr>
                <w:t>20</w:t>
              </w:r>
              <w:r>
                <w:rPr>
                  <w:noProof/>
                </w:rPr>
                <w:fldChar w:fldCharType="end"/>
              </w:r>
              <w:r w:rsidRPr="00257138">
                <w:t xml:space="preserve"> of </w:t>
              </w:r>
              <w:fldSimple w:instr=" NUMPAGES  ">
                <w:r w:rsidR="00D57A9B">
                  <w:rPr>
                    <w:noProof/>
                  </w:rPr>
                  <w:t>20</w:t>
                </w:r>
              </w:fldSimple>
            </w:p>
          </w:sdtContent>
        </w:sdt>
      </w:tc>
    </w:tr>
    <w:tr w:rsidR="00FD507B" w:rsidRPr="00257138" w:rsidTr="002C76AB">
      <w:trPr>
        <w:trHeight w:val="263"/>
      </w:trPr>
      <w:tc>
        <w:tcPr>
          <w:tcW w:w="7338" w:type="dxa"/>
        </w:tcPr>
        <w:p w:rsidR="00FD507B" w:rsidRPr="00257138" w:rsidRDefault="00FD507B" w:rsidP="00A97CD0">
          <w:pPr>
            <w:pStyle w:val="Footer"/>
          </w:pPr>
          <w:r>
            <w:t xml:space="preserve">V1 August </w:t>
          </w:r>
          <w:r w:rsidRPr="00257138">
            <w:t>201</w:t>
          </w:r>
          <w:r>
            <w:t>2</w:t>
          </w:r>
        </w:p>
      </w:tc>
      <w:tc>
        <w:tcPr>
          <w:tcW w:w="1382" w:type="dxa"/>
        </w:tcPr>
        <w:p w:rsidR="00FD507B" w:rsidRPr="00257138" w:rsidRDefault="00FD507B" w:rsidP="002C76AB">
          <w:pPr>
            <w:pStyle w:val="Footer"/>
            <w:jc w:val="right"/>
          </w:pPr>
        </w:p>
      </w:tc>
    </w:tr>
  </w:tbl>
  <w:p w:rsidR="00FD507B" w:rsidRDefault="00FD507B" w:rsidP="000B30E5">
    <w:pPr>
      <w:pStyle w:val="Footer"/>
      <w:tabs>
        <w:tab w:val="left" w:pos="7620"/>
        <w:tab w:val="right" w:pos="850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7B" w:rsidRPr="008E3C43" w:rsidRDefault="00FD507B" w:rsidP="008E3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7B" w:rsidRDefault="00FD507B" w:rsidP="00C40A36">
      <w:pPr>
        <w:spacing w:after="0"/>
      </w:pPr>
      <w:r>
        <w:separator/>
      </w:r>
    </w:p>
  </w:footnote>
  <w:footnote w:type="continuationSeparator" w:id="0">
    <w:p w:rsidR="00FD507B" w:rsidRDefault="00FD507B" w:rsidP="00C40A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7B" w:rsidRDefault="00FD507B" w:rsidP="00C3408D">
    <w:pPr>
      <w:pStyle w:val="Header"/>
    </w:pPr>
    <w:sdt>
      <w:sdtPr>
        <w:id w:val="146555209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13303" o:spid="_x0000_s2063" type="#_x0000_t136" style="position:absolute;left:0;text-align:left;margin-left:0;margin-top:0;width:535.5pt;height:202.5pt;rotation:315;z-index:251657216;mso-position-horizontal:center;mso-position-horizontal-relative:margin;mso-position-vertical:center;mso-position-vertical-relative:margin" o:allowincell="f" fillcolor="#4a8485" stroked="f">
              <v:fill opacity=".5"/>
              <v:textpath style="font-family:&quot;Arial Black&quot;;font-size:2in" string="DRAFT"/>
              <w10:wrap anchorx="margin" anchory="margin"/>
            </v:shape>
          </w:pict>
        </w:r>
      </w:sdtContent>
    </w:sdt>
    <w:r w:rsidRPr="000F5176">
      <w:t>Therapeutic Goods Administration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7B" w:rsidRDefault="00FD507B" w:rsidP="006D03E5">
    <w:pPr>
      <w:rPr>
        <w:noProof/>
      </w:rPr>
    </w:pPr>
    <w:r>
      <w:rPr>
        <w:noProof/>
        <w:lang w:eastAsia="en-AU"/>
      </w:rPr>
      <w:drawing>
        <wp:inline distT="0" distB="0" distL="0" distR="0" wp14:anchorId="16F0F240" wp14:editId="348A3507">
          <wp:extent cx="3171825" cy="790575"/>
          <wp:effectExtent l="19050" t="0" r="9525" b="0"/>
          <wp:docPr id="34" name="Picture 0"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amp;A_logo_Inline_black.jpg"/>
                  <pic:cNvPicPr>
                    <a:picLocks noChangeAspect="1" noChangeArrowheads="1"/>
                  </pic:cNvPicPr>
                </pic:nvPicPr>
                <pic:blipFill>
                  <a:blip r:embed="rId1"/>
                  <a:srcRect/>
                  <a:stretch>
                    <a:fillRect/>
                  </a:stretch>
                </pic:blipFill>
                <pic:spPr bwMode="auto">
                  <a:xfrm>
                    <a:off x="0" y="0"/>
                    <a:ext cx="3171825" cy="790575"/>
                  </a:xfrm>
                  <a:prstGeom prst="rect">
                    <a:avLst/>
                  </a:prstGeom>
                  <a:noFill/>
                  <a:ln w="9525">
                    <a:noFill/>
                    <a:miter lim="800000"/>
                    <a:headEnd/>
                    <a:tailEnd/>
                  </a:ln>
                </pic:spPr>
              </pic:pic>
            </a:graphicData>
          </a:graphic>
        </wp:inline>
      </w:drawing>
    </w:r>
    <w:r>
      <w:rPr>
        <w:noProof/>
      </w:rPr>
      <w:t xml:space="preserve"> </w:t>
    </w:r>
  </w:p>
  <w:p w:rsidR="00FD507B" w:rsidRPr="009B2D14" w:rsidRDefault="00FD507B" w:rsidP="009B2D14">
    <w:pPr>
      <w:ind w:left="5760"/>
      <w:rPr>
        <w:b/>
        <w:sz w:val="32"/>
        <w:szCs w:val="32"/>
      </w:rPr>
    </w:pPr>
    <w:r>
      <w:rPr>
        <w:b/>
        <w:sz w:val="32"/>
        <w:szCs w:val="32"/>
      </w:rPr>
      <w:t>ATTACHMENT 1</w:t>
    </w:r>
    <w:r w:rsidRPr="009B2D14">
      <w:rPr>
        <w:b/>
        <w:sz w:val="32"/>
        <w:szCs w:val="32"/>
      </w:rPr>
      <w:t xml:space="preserve"> </w:t>
    </w:r>
  </w:p>
  <w:p w:rsidR="00FD507B" w:rsidRDefault="00FD507B" w:rsidP="006D03E5">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7B" w:rsidRPr="00FE501F" w:rsidRDefault="00FD507B" w:rsidP="00FE501F">
    <w:pPr>
      <w:pStyle w:val="HeaderNo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327294F"/>
    <w:multiLevelType w:val="hybridMultilevel"/>
    <w:tmpl w:val="0F660C26"/>
    <w:lvl w:ilvl="0" w:tplc="9050BFE8">
      <w:start w:val="1"/>
      <w:numFmt w:val="bullet"/>
      <w:lvlText w:val=""/>
      <w:lvlJc w:val="left"/>
      <w:pPr>
        <w:tabs>
          <w:tab w:val="num" w:pos="567"/>
        </w:tabs>
        <w:ind w:left="567" w:hanging="51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nsid w:val="168F13E9"/>
    <w:multiLevelType w:val="multilevel"/>
    <w:tmpl w:val="E3B4F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1C9F2592"/>
    <w:multiLevelType w:val="hybridMultilevel"/>
    <w:tmpl w:val="2586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56C68"/>
    <w:multiLevelType w:val="hybridMultilevel"/>
    <w:tmpl w:val="414097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427CE3"/>
    <w:multiLevelType w:val="hybridMultilevel"/>
    <w:tmpl w:val="2D32566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B0027E"/>
    <w:multiLevelType w:val="hybridMultilevel"/>
    <w:tmpl w:val="B19AF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137E40"/>
    <w:multiLevelType w:val="hybridMultilevel"/>
    <w:tmpl w:val="58042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42EBC"/>
    <w:multiLevelType w:val="hybridMultilevel"/>
    <w:tmpl w:val="38E63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244758"/>
    <w:multiLevelType w:val="hybridMultilevel"/>
    <w:tmpl w:val="87A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C97AEB"/>
    <w:multiLevelType w:val="hybridMultilevel"/>
    <w:tmpl w:val="B496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884A6E"/>
    <w:multiLevelType w:val="hybridMultilevel"/>
    <w:tmpl w:val="3816FC30"/>
    <w:lvl w:ilvl="0" w:tplc="6EC4BE6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72174A"/>
    <w:multiLevelType w:val="hybridMultilevel"/>
    <w:tmpl w:val="3D94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857430"/>
    <w:multiLevelType w:val="hybridMultilevel"/>
    <w:tmpl w:val="4232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F9344D"/>
    <w:multiLevelType w:val="singleLevel"/>
    <w:tmpl w:val="62F6D90A"/>
    <w:lvl w:ilvl="0">
      <w:start w:val="1"/>
      <w:numFmt w:val="lowerLetter"/>
      <w:lvlText w:val="(%1)"/>
      <w:lvlJc w:val="left"/>
      <w:pPr>
        <w:tabs>
          <w:tab w:val="num" w:pos="360"/>
        </w:tabs>
        <w:ind w:left="360" w:hanging="360"/>
      </w:pPr>
    </w:lvl>
  </w:abstractNum>
  <w:abstractNum w:abstractNumId="19">
    <w:nsid w:val="64264F93"/>
    <w:multiLevelType w:val="hybridMultilevel"/>
    <w:tmpl w:val="2228D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7A111A"/>
    <w:multiLevelType w:val="hybridMultilevel"/>
    <w:tmpl w:val="AEE66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8574AA"/>
    <w:multiLevelType w:val="hybridMultilevel"/>
    <w:tmpl w:val="DFDC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6"/>
  </w:num>
  <w:num w:numId="5">
    <w:abstractNumId w:val="0"/>
  </w:num>
  <w:num w:numId="6">
    <w:abstractNumId w:val="6"/>
  </w:num>
  <w:num w:numId="7">
    <w:abstractNumId w:val="6"/>
  </w:num>
  <w:num w:numId="8">
    <w:abstractNumId w:val="5"/>
  </w:num>
  <w:num w:numId="9">
    <w:abstractNumId w:val="5"/>
  </w:num>
  <w:num w:numId="10">
    <w:abstractNumId w:val="5"/>
  </w:num>
  <w:num w:numId="11">
    <w:abstractNumId w:val="5"/>
  </w:num>
  <w:num w:numId="12">
    <w:abstractNumId w:val="6"/>
  </w:num>
  <w:num w:numId="13">
    <w:abstractNumId w:val="13"/>
  </w:num>
  <w:num w:numId="14">
    <w:abstractNumId w:val="17"/>
  </w:num>
  <w:num w:numId="15">
    <w:abstractNumId w:val="10"/>
  </w:num>
  <w:num w:numId="16">
    <w:abstractNumId w:val="20"/>
  </w:num>
  <w:num w:numId="17">
    <w:abstractNumId w:val="3"/>
    <w:lvlOverride w:ilvl="0">
      <w:lvl w:ilvl="0">
        <w:start w:val="1"/>
        <w:numFmt w:val="bullet"/>
        <w:lvlText w:val=""/>
        <w:legacy w:legacy="1" w:legacySpace="0" w:legacyIndent="360"/>
        <w:lvlJc w:val="left"/>
        <w:pPr>
          <w:ind w:left="810" w:hanging="360"/>
        </w:pPr>
        <w:rPr>
          <w:rFonts w:ascii="Symbol" w:hAnsi="Symbol" w:cs="Symbol" w:hint="default"/>
        </w:rPr>
      </w:lvl>
    </w:lvlOverride>
  </w:num>
  <w:num w:numId="18">
    <w:abstractNumId w:val="3"/>
    <w:lvlOverride w:ilvl="0">
      <w:lvl w:ilvl="0">
        <w:start w:val="1"/>
        <w:numFmt w:val="bullet"/>
        <w:lvlText w:val=""/>
        <w:legacy w:legacy="1" w:legacySpace="0" w:legacyIndent="283"/>
        <w:lvlJc w:val="left"/>
        <w:pPr>
          <w:ind w:left="566" w:hanging="283"/>
        </w:pPr>
        <w:rPr>
          <w:rFonts w:ascii="Symbol" w:hAnsi="Symbol" w:cs="Symbol" w:hint="default"/>
        </w:rPr>
      </w:lvl>
    </w:lvlOverride>
  </w:num>
  <w:num w:numId="19">
    <w:abstractNumId w:val="18"/>
  </w:num>
  <w:num w:numId="20">
    <w:abstractNumId w:val="4"/>
  </w:num>
  <w:num w:numId="21">
    <w:abstractNumId w:val="14"/>
  </w:num>
  <w:num w:numId="22">
    <w:abstractNumId w:val="9"/>
  </w:num>
  <w:num w:numId="23">
    <w:abstractNumId w:val="12"/>
  </w:num>
  <w:num w:numId="24">
    <w:abstractNumId w:val="8"/>
  </w:num>
  <w:num w:numId="25">
    <w:abstractNumId w:val="19"/>
  </w:num>
  <w:num w:numId="26">
    <w:abstractNumId w:val="16"/>
  </w:num>
  <w:num w:numId="27">
    <w:abstractNumId w:val="7"/>
  </w:num>
  <w:num w:numId="28">
    <w:abstractNumId w:val="11"/>
  </w:num>
  <w:num w:numId="29">
    <w:abstractNumId w:val="21"/>
  </w:num>
  <w:num w:numId="30">
    <w:abstractNumId w:val="15"/>
  </w:num>
  <w:num w:numId="3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64" fillcolor="#1f497d">
      <v:fill color="#1f497d" opacity="13763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E9"/>
    <w:rsid w:val="00002031"/>
    <w:rsid w:val="00004734"/>
    <w:rsid w:val="00006B22"/>
    <w:rsid w:val="0001276A"/>
    <w:rsid w:val="00016BEB"/>
    <w:rsid w:val="000246AE"/>
    <w:rsid w:val="00025C67"/>
    <w:rsid w:val="00041DD1"/>
    <w:rsid w:val="0005559E"/>
    <w:rsid w:val="00066246"/>
    <w:rsid w:val="00077775"/>
    <w:rsid w:val="00080DB2"/>
    <w:rsid w:val="00090471"/>
    <w:rsid w:val="0009580C"/>
    <w:rsid w:val="000A4371"/>
    <w:rsid w:val="000B30E5"/>
    <w:rsid w:val="000B3532"/>
    <w:rsid w:val="000B3A75"/>
    <w:rsid w:val="000B574E"/>
    <w:rsid w:val="000B5E4E"/>
    <w:rsid w:val="000B6CAE"/>
    <w:rsid w:val="000B7084"/>
    <w:rsid w:val="000C0DAB"/>
    <w:rsid w:val="000C789F"/>
    <w:rsid w:val="000D0851"/>
    <w:rsid w:val="000D391B"/>
    <w:rsid w:val="000D3D6D"/>
    <w:rsid w:val="000D4FC7"/>
    <w:rsid w:val="000E20C6"/>
    <w:rsid w:val="000F4869"/>
    <w:rsid w:val="000F5176"/>
    <w:rsid w:val="000F5978"/>
    <w:rsid w:val="000F5B42"/>
    <w:rsid w:val="000F6E6F"/>
    <w:rsid w:val="001003F2"/>
    <w:rsid w:val="00102BDA"/>
    <w:rsid w:val="0010601F"/>
    <w:rsid w:val="001060D4"/>
    <w:rsid w:val="00110EA5"/>
    <w:rsid w:val="00115240"/>
    <w:rsid w:val="00115508"/>
    <w:rsid w:val="00120C12"/>
    <w:rsid w:val="001210F1"/>
    <w:rsid w:val="00125091"/>
    <w:rsid w:val="00125318"/>
    <w:rsid w:val="001305A2"/>
    <w:rsid w:val="00133238"/>
    <w:rsid w:val="00140FE3"/>
    <w:rsid w:val="0014197B"/>
    <w:rsid w:val="0014247A"/>
    <w:rsid w:val="001447CD"/>
    <w:rsid w:val="001500F7"/>
    <w:rsid w:val="001516B1"/>
    <w:rsid w:val="001525B4"/>
    <w:rsid w:val="00156316"/>
    <w:rsid w:val="00165389"/>
    <w:rsid w:val="00165DC3"/>
    <w:rsid w:val="001713A3"/>
    <w:rsid w:val="00172A15"/>
    <w:rsid w:val="0017693F"/>
    <w:rsid w:val="0018110E"/>
    <w:rsid w:val="00181684"/>
    <w:rsid w:val="001843C6"/>
    <w:rsid w:val="001850E0"/>
    <w:rsid w:val="0018660B"/>
    <w:rsid w:val="00192AAA"/>
    <w:rsid w:val="001A3A2C"/>
    <w:rsid w:val="001A525F"/>
    <w:rsid w:val="001B09F9"/>
    <w:rsid w:val="001B6448"/>
    <w:rsid w:val="001C22AC"/>
    <w:rsid w:val="001D7224"/>
    <w:rsid w:val="001E07CF"/>
    <w:rsid w:val="001E59F1"/>
    <w:rsid w:val="001F49EB"/>
    <w:rsid w:val="001F51B1"/>
    <w:rsid w:val="001F6CBA"/>
    <w:rsid w:val="00201D4E"/>
    <w:rsid w:val="00203EE9"/>
    <w:rsid w:val="00217091"/>
    <w:rsid w:val="00220B8A"/>
    <w:rsid w:val="002257F3"/>
    <w:rsid w:val="00233456"/>
    <w:rsid w:val="002339A5"/>
    <w:rsid w:val="00237691"/>
    <w:rsid w:val="00247FB9"/>
    <w:rsid w:val="00257138"/>
    <w:rsid w:val="00257848"/>
    <w:rsid w:val="00266C57"/>
    <w:rsid w:val="0027084A"/>
    <w:rsid w:val="00272E9B"/>
    <w:rsid w:val="00286434"/>
    <w:rsid w:val="00286C59"/>
    <w:rsid w:val="002942D1"/>
    <w:rsid w:val="002A0556"/>
    <w:rsid w:val="002A2EB0"/>
    <w:rsid w:val="002A5B3A"/>
    <w:rsid w:val="002B1638"/>
    <w:rsid w:val="002C376C"/>
    <w:rsid w:val="002C6E9C"/>
    <w:rsid w:val="002C76AB"/>
    <w:rsid w:val="002E193A"/>
    <w:rsid w:val="002E4C9A"/>
    <w:rsid w:val="002F11F8"/>
    <w:rsid w:val="002F3F56"/>
    <w:rsid w:val="002F44B5"/>
    <w:rsid w:val="00300350"/>
    <w:rsid w:val="00301FA3"/>
    <w:rsid w:val="00311AC0"/>
    <w:rsid w:val="00323F14"/>
    <w:rsid w:val="003252DE"/>
    <w:rsid w:val="003260BF"/>
    <w:rsid w:val="00331DBB"/>
    <w:rsid w:val="0034129A"/>
    <w:rsid w:val="00350236"/>
    <w:rsid w:val="0035146C"/>
    <w:rsid w:val="003521E8"/>
    <w:rsid w:val="00357700"/>
    <w:rsid w:val="003664BF"/>
    <w:rsid w:val="003728F3"/>
    <w:rsid w:val="00376793"/>
    <w:rsid w:val="00390900"/>
    <w:rsid w:val="003A2DDF"/>
    <w:rsid w:val="003B362C"/>
    <w:rsid w:val="003B7E39"/>
    <w:rsid w:val="003C58DC"/>
    <w:rsid w:val="003D3B63"/>
    <w:rsid w:val="003D6B56"/>
    <w:rsid w:val="003E3208"/>
    <w:rsid w:val="003F0B04"/>
    <w:rsid w:val="0040134E"/>
    <w:rsid w:val="00404B57"/>
    <w:rsid w:val="00406DB9"/>
    <w:rsid w:val="00415D2C"/>
    <w:rsid w:val="00436F15"/>
    <w:rsid w:val="00440A2D"/>
    <w:rsid w:val="00453E56"/>
    <w:rsid w:val="004564A7"/>
    <w:rsid w:val="004617BF"/>
    <w:rsid w:val="00483D37"/>
    <w:rsid w:val="004923FF"/>
    <w:rsid w:val="00493FF6"/>
    <w:rsid w:val="00494E60"/>
    <w:rsid w:val="0049734C"/>
    <w:rsid w:val="004A0DC8"/>
    <w:rsid w:val="004A14E6"/>
    <w:rsid w:val="004B7B76"/>
    <w:rsid w:val="004C0070"/>
    <w:rsid w:val="004C3564"/>
    <w:rsid w:val="004C4096"/>
    <w:rsid w:val="004D51A6"/>
    <w:rsid w:val="004E0515"/>
    <w:rsid w:val="004F0F38"/>
    <w:rsid w:val="004F484B"/>
    <w:rsid w:val="00501921"/>
    <w:rsid w:val="00520FED"/>
    <w:rsid w:val="00530354"/>
    <w:rsid w:val="00535D83"/>
    <w:rsid w:val="00541FD8"/>
    <w:rsid w:val="005423EF"/>
    <w:rsid w:val="005434C6"/>
    <w:rsid w:val="00543B39"/>
    <w:rsid w:val="00550096"/>
    <w:rsid w:val="00557FF9"/>
    <w:rsid w:val="00560037"/>
    <w:rsid w:val="00560136"/>
    <w:rsid w:val="00562102"/>
    <w:rsid w:val="00567A2E"/>
    <w:rsid w:val="00576378"/>
    <w:rsid w:val="00577E38"/>
    <w:rsid w:val="00584285"/>
    <w:rsid w:val="00585322"/>
    <w:rsid w:val="00593AD1"/>
    <w:rsid w:val="005A1131"/>
    <w:rsid w:val="005C5570"/>
    <w:rsid w:val="005C79A4"/>
    <w:rsid w:val="005D1689"/>
    <w:rsid w:val="005D5442"/>
    <w:rsid w:val="005D55A3"/>
    <w:rsid w:val="005F458A"/>
    <w:rsid w:val="005F5830"/>
    <w:rsid w:val="00611BFB"/>
    <w:rsid w:val="00613DE8"/>
    <w:rsid w:val="00621DCA"/>
    <w:rsid w:val="0062387D"/>
    <w:rsid w:val="00625015"/>
    <w:rsid w:val="0063606B"/>
    <w:rsid w:val="00640FC3"/>
    <w:rsid w:val="00642020"/>
    <w:rsid w:val="00645487"/>
    <w:rsid w:val="0065337B"/>
    <w:rsid w:val="0065419D"/>
    <w:rsid w:val="006604D8"/>
    <w:rsid w:val="00664A5B"/>
    <w:rsid w:val="00667942"/>
    <w:rsid w:val="00680C08"/>
    <w:rsid w:val="0068741A"/>
    <w:rsid w:val="006931B1"/>
    <w:rsid w:val="00695145"/>
    <w:rsid w:val="006A15C0"/>
    <w:rsid w:val="006A38E4"/>
    <w:rsid w:val="006C1F3B"/>
    <w:rsid w:val="006C3E2A"/>
    <w:rsid w:val="006C43B5"/>
    <w:rsid w:val="006C531D"/>
    <w:rsid w:val="006C642F"/>
    <w:rsid w:val="006D03E5"/>
    <w:rsid w:val="006D5D3E"/>
    <w:rsid w:val="006E08B3"/>
    <w:rsid w:val="006E4E00"/>
    <w:rsid w:val="006F0419"/>
    <w:rsid w:val="006F1604"/>
    <w:rsid w:val="006F46EA"/>
    <w:rsid w:val="006F572E"/>
    <w:rsid w:val="006F6284"/>
    <w:rsid w:val="006F652C"/>
    <w:rsid w:val="006F6C81"/>
    <w:rsid w:val="00703CA4"/>
    <w:rsid w:val="007046D6"/>
    <w:rsid w:val="00705DB0"/>
    <w:rsid w:val="00706634"/>
    <w:rsid w:val="00706AFE"/>
    <w:rsid w:val="00723BF8"/>
    <w:rsid w:val="00725CC7"/>
    <w:rsid w:val="00727005"/>
    <w:rsid w:val="0074253D"/>
    <w:rsid w:val="0074429B"/>
    <w:rsid w:val="007477F8"/>
    <w:rsid w:val="00753687"/>
    <w:rsid w:val="00753A56"/>
    <w:rsid w:val="007615BC"/>
    <w:rsid w:val="007622D7"/>
    <w:rsid w:val="00762F05"/>
    <w:rsid w:val="00764FC4"/>
    <w:rsid w:val="007652FF"/>
    <w:rsid w:val="00771329"/>
    <w:rsid w:val="00773EF7"/>
    <w:rsid w:val="00774E1D"/>
    <w:rsid w:val="0077675A"/>
    <w:rsid w:val="00780355"/>
    <w:rsid w:val="00785721"/>
    <w:rsid w:val="00793A59"/>
    <w:rsid w:val="00795DC5"/>
    <w:rsid w:val="007A2162"/>
    <w:rsid w:val="007A33BC"/>
    <w:rsid w:val="007C0F3D"/>
    <w:rsid w:val="007C1AF7"/>
    <w:rsid w:val="007E175B"/>
    <w:rsid w:val="007F17AF"/>
    <w:rsid w:val="0080240E"/>
    <w:rsid w:val="00816164"/>
    <w:rsid w:val="00821776"/>
    <w:rsid w:val="00822AE2"/>
    <w:rsid w:val="00826007"/>
    <w:rsid w:val="008320C3"/>
    <w:rsid w:val="008321F5"/>
    <w:rsid w:val="00832369"/>
    <w:rsid w:val="00834660"/>
    <w:rsid w:val="00836BC2"/>
    <w:rsid w:val="0085641B"/>
    <w:rsid w:val="00857136"/>
    <w:rsid w:val="008765B3"/>
    <w:rsid w:val="00887D0C"/>
    <w:rsid w:val="00896018"/>
    <w:rsid w:val="008A2B9D"/>
    <w:rsid w:val="008A5E0B"/>
    <w:rsid w:val="008A6D59"/>
    <w:rsid w:val="008A7095"/>
    <w:rsid w:val="008B4B03"/>
    <w:rsid w:val="008B553E"/>
    <w:rsid w:val="008B596F"/>
    <w:rsid w:val="008C159F"/>
    <w:rsid w:val="008C1623"/>
    <w:rsid w:val="008C51A9"/>
    <w:rsid w:val="008C63C5"/>
    <w:rsid w:val="008C7541"/>
    <w:rsid w:val="008E3C43"/>
    <w:rsid w:val="008F1CCC"/>
    <w:rsid w:val="008F2967"/>
    <w:rsid w:val="008F6EF7"/>
    <w:rsid w:val="00920330"/>
    <w:rsid w:val="00920FF4"/>
    <w:rsid w:val="009219D7"/>
    <w:rsid w:val="00922D53"/>
    <w:rsid w:val="00923B70"/>
    <w:rsid w:val="0092600B"/>
    <w:rsid w:val="00930237"/>
    <w:rsid w:val="00932C97"/>
    <w:rsid w:val="00963C08"/>
    <w:rsid w:val="00964F68"/>
    <w:rsid w:val="00974DBB"/>
    <w:rsid w:val="00983BBF"/>
    <w:rsid w:val="0099110E"/>
    <w:rsid w:val="009A4CED"/>
    <w:rsid w:val="009A5BC7"/>
    <w:rsid w:val="009B1D12"/>
    <w:rsid w:val="009B2D14"/>
    <w:rsid w:val="009B3475"/>
    <w:rsid w:val="009B416B"/>
    <w:rsid w:val="009B68A6"/>
    <w:rsid w:val="009C3313"/>
    <w:rsid w:val="009C4BD5"/>
    <w:rsid w:val="009D2E04"/>
    <w:rsid w:val="009D7B77"/>
    <w:rsid w:val="009E0BB0"/>
    <w:rsid w:val="009E3FBB"/>
    <w:rsid w:val="009F018D"/>
    <w:rsid w:val="009F0B33"/>
    <w:rsid w:val="00A07492"/>
    <w:rsid w:val="00A1235B"/>
    <w:rsid w:val="00A14DF7"/>
    <w:rsid w:val="00A26E24"/>
    <w:rsid w:val="00A3246D"/>
    <w:rsid w:val="00A36FA7"/>
    <w:rsid w:val="00A4235C"/>
    <w:rsid w:val="00A475B7"/>
    <w:rsid w:val="00A47AF7"/>
    <w:rsid w:val="00A47C3E"/>
    <w:rsid w:val="00A50226"/>
    <w:rsid w:val="00A55069"/>
    <w:rsid w:val="00A60BAD"/>
    <w:rsid w:val="00A611E8"/>
    <w:rsid w:val="00A73A8D"/>
    <w:rsid w:val="00A862ED"/>
    <w:rsid w:val="00A87334"/>
    <w:rsid w:val="00A8795B"/>
    <w:rsid w:val="00A97CD0"/>
    <w:rsid w:val="00AA3EB9"/>
    <w:rsid w:val="00AC2B40"/>
    <w:rsid w:val="00AC2BB2"/>
    <w:rsid w:val="00AC2C3C"/>
    <w:rsid w:val="00AC3BD9"/>
    <w:rsid w:val="00AD6380"/>
    <w:rsid w:val="00AE5AB2"/>
    <w:rsid w:val="00AE65EB"/>
    <w:rsid w:val="00AF1D94"/>
    <w:rsid w:val="00AF60C5"/>
    <w:rsid w:val="00B009C6"/>
    <w:rsid w:val="00B00ACB"/>
    <w:rsid w:val="00B01548"/>
    <w:rsid w:val="00B01551"/>
    <w:rsid w:val="00B147DA"/>
    <w:rsid w:val="00B1710D"/>
    <w:rsid w:val="00B17240"/>
    <w:rsid w:val="00B21D29"/>
    <w:rsid w:val="00B21FC5"/>
    <w:rsid w:val="00B23323"/>
    <w:rsid w:val="00B24FF5"/>
    <w:rsid w:val="00B25034"/>
    <w:rsid w:val="00B33863"/>
    <w:rsid w:val="00B37D17"/>
    <w:rsid w:val="00B40F94"/>
    <w:rsid w:val="00B4175E"/>
    <w:rsid w:val="00B510E1"/>
    <w:rsid w:val="00B54C25"/>
    <w:rsid w:val="00B60B1D"/>
    <w:rsid w:val="00B75D78"/>
    <w:rsid w:val="00B76B91"/>
    <w:rsid w:val="00B87BB7"/>
    <w:rsid w:val="00B9484C"/>
    <w:rsid w:val="00B94CFB"/>
    <w:rsid w:val="00BB03BA"/>
    <w:rsid w:val="00BC1CAB"/>
    <w:rsid w:val="00BC32E9"/>
    <w:rsid w:val="00BC622A"/>
    <w:rsid w:val="00BD0B28"/>
    <w:rsid w:val="00BE0A78"/>
    <w:rsid w:val="00BE243C"/>
    <w:rsid w:val="00BE24D9"/>
    <w:rsid w:val="00BE2E51"/>
    <w:rsid w:val="00BE79F0"/>
    <w:rsid w:val="00BF046D"/>
    <w:rsid w:val="00BF43F2"/>
    <w:rsid w:val="00BF5D04"/>
    <w:rsid w:val="00C13563"/>
    <w:rsid w:val="00C14835"/>
    <w:rsid w:val="00C1617C"/>
    <w:rsid w:val="00C23477"/>
    <w:rsid w:val="00C24FC6"/>
    <w:rsid w:val="00C3408D"/>
    <w:rsid w:val="00C404A6"/>
    <w:rsid w:val="00C40A36"/>
    <w:rsid w:val="00C44419"/>
    <w:rsid w:val="00C45E7B"/>
    <w:rsid w:val="00C471B1"/>
    <w:rsid w:val="00C6316B"/>
    <w:rsid w:val="00C634A9"/>
    <w:rsid w:val="00C7475B"/>
    <w:rsid w:val="00C76805"/>
    <w:rsid w:val="00C772FF"/>
    <w:rsid w:val="00C801AF"/>
    <w:rsid w:val="00C80256"/>
    <w:rsid w:val="00C85953"/>
    <w:rsid w:val="00C87DC4"/>
    <w:rsid w:val="00C91044"/>
    <w:rsid w:val="00CA7F9C"/>
    <w:rsid w:val="00CB15C8"/>
    <w:rsid w:val="00CB6BC0"/>
    <w:rsid w:val="00CB73C5"/>
    <w:rsid w:val="00CC1B7C"/>
    <w:rsid w:val="00CC727F"/>
    <w:rsid w:val="00CD10E4"/>
    <w:rsid w:val="00CD1F02"/>
    <w:rsid w:val="00CD30CC"/>
    <w:rsid w:val="00CD6FCC"/>
    <w:rsid w:val="00CE5BB0"/>
    <w:rsid w:val="00CE5D7B"/>
    <w:rsid w:val="00CF15C3"/>
    <w:rsid w:val="00CF2B6F"/>
    <w:rsid w:val="00CF4791"/>
    <w:rsid w:val="00D017ED"/>
    <w:rsid w:val="00D11F5C"/>
    <w:rsid w:val="00D153B1"/>
    <w:rsid w:val="00D224FE"/>
    <w:rsid w:val="00D229BA"/>
    <w:rsid w:val="00D30526"/>
    <w:rsid w:val="00D3646E"/>
    <w:rsid w:val="00D57A9B"/>
    <w:rsid w:val="00D6493E"/>
    <w:rsid w:val="00D85417"/>
    <w:rsid w:val="00DA1124"/>
    <w:rsid w:val="00DA24C7"/>
    <w:rsid w:val="00DA381C"/>
    <w:rsid w:val="00DA4CD9"/>
    <w:rsid w:val="00DB6658"/>
    <w:rsid w:val="00DD75A3"/>
    <w:rsid w:val="00DD76DE"/>
    <w:rsid w:val="00DE02AE"/>
    <w:rsid w:val="00DE6A0C"/>
    <w:rsid w:val="00DE6C04"/>
    <w:rsid w:val="00DF1D7F"/>
    <w:rsid w:val="00DF45B9"/>
    <w:rsid w:val="00DF6BE8"/>
    <w:rsid w:val="00E02FB4"/>
    <w:rsid w:val="00E11E4D"/>
    <w:rsid w:val="00E1340C"/>
    <w:rsid w:val="00E177F4"/>
    <w:rsid w:val="00E20571"/>
    <w:rsid w:val="00E21651"/>
    <w:rsid w:val="00E22953"/>
    <w:rsid w:val="00E235F7"/>
    <w:rsid w:val="00E239D4"/>
    <w:rsid w:val="00E30C88"/>
    <w:rsid w:val="00E32A5C"/>
    <w:rsid w:val="00E40B22"/>
    <w:rsid w:val="00E41844"/>
    <w:rsid w:val="00E4588F"/>
    <w:rsid w:val="00E46DA3"/>
    <w:rsid w:val="00E47660"/>
    <w:rsid w:val="00E609CF"/>
    <w:rsid w:val="00E6714B"/>
    <w:rsid w:val="00E74D50"/>
    <w:rsid w:val="00E96114"/>
    <w:rsid w:val="00EA16DE"/>
    <w:rsid w:val="00EA1F09"/>
    <w:rsid w:val="00EA406B"/>
    <w:rsid w:val="00EA7E1D"/>
    <w:rsid w:val="00EB0798"/>
    <w:rsid w:val="00EB40AD"/>
    <w:rsid w:val="00EB586E"/>
    <w:rsid w:val="00EB5FC8"/>
    <w:rsid w:val="00ED492A"/>
    <w:rsid w:val="00ED555A"/>
    <w:rsid w:val="00ED5A41"/>
    <w:rsid w:val="00EF1122"/>
    <w:rsid w:val="00EF578B"/>
    <w:rsid w:val="00EF6895"/>
    <w:rsid w:val="00F033EC"/>
    <w:rsid w:val="00F0441F"/>
    <w:rsid w:val="00F04F68"/>
    <w:rsid w:val="00F12670"/>
    <w:rsid w:val="00F14B27"/>
    <w:rsid w:val="00F2301F"/>
    <w:rsid w:val="00F3148D"/>
    <w:rsid w:val="00F35298"/>
    <w:rsid w:val="00F3529E"/>
    <w:rsid w:val="00F427F0"/>
    <w:rsid w:val="00F47E37"/>
    <w:rsid w:val="00F640B6"/>
    <w:rsid w:val="00F80E40"/>
    <w:rsid w:val="00F8709D"/>
    <w:rsid w:val="00F94E44"/>
    <w:rsid w:val="00FA5B82"/>
    <w:rsid w:val="00FA639E"/>
    <w:rsid w:val="00FB5A7D"/>
    <w:rsid w:val="00FB5FCC"/>
    <w:rsid w:val="00FC03C8"/>
    <w:rsid w:val="00FC25E4"/>
    <w:rsid w:val="00FC4EF7"/>
    <w:rsid w:val="00FD507B"/>
    <w:rsid w:val="00FE1DEE"/>
    <w:rsid w:val="00FE206C"/>
    <w:rsid w:val="00FE501F"/>
    <w:rsid w:val="00FF2126"/>
    <w:rsid w:val="00FF69BE"/>
    <w:rsid w:val="00FF7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fillcolor="#1f497d">
      <v:fill color="#1f497d" opacity="1376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semiHidden="0" w:uiPriority="35" w:unhideWhenUsed="0"/>
    <w:lsdException w:name="footnote reference" w:uiPriority="0"/>
    <w:lsdException w:name="List Bullet" w:semiHidden="0" w:unhideWhenUsed="0" w:qFormat="1"/>
    <w:lsdException w:name="List Bullet 2" w:semiHidden="0" w:unhideWhenUsed="0" w:qFormat="1"/>
    <w:lsdException w:name="List Bullet 3" w:qFormat="1"/>
    <w:lsdException w:name="Title" w:semiHidden="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1551"/>
    <w:pPr>
      <w:spacing w:before="180" w:after="180" w:line="240" w:lineRule="atLeast"/>
    </w:pPr>
    <w:rPr>
      <w:sz w:val="22"/>
      <w:szCs w:val="22"/>
      <w:lang w:eastAsia="en-US"/>
    </w:rPr>
  </w:style>
  <w:style w:type="paragraph" w:styleId="Heading1">
    <w:name w:val="heading 1"/>
    <w:basedOn w:val="Title"/>
    <w:next w:val="Normal"/>
    <w:link w:val="Heading1Char"/>
    <w:qFormat/>
    <w:rsid w:val="002E193A"/>
    <w:pPr>
      <w:framePr w:hSpace="180" w:wrap="around" w:vAnchor="page" w:hAnchor="margin" w:y="3271"/>
      <w:outlineLvl w:val="0"/>
    </w:pPr>
  </w:style>
  <w:style w:type="paragraph" w:styleId="Heading2">
    <w:name w:val="heading 2"/>
    <w:basedOn w:val="Normal"/>
    <w:next w:val="Normal"/>
    <w:link w:val="Heading2Char"/>
    <w:qFormat/>
    <w:rsid w:val="002E193A"/>
    <w:pPr>
      <w:keepNext/>
      <w:keepLines/>
      <w:spacing w:before="480" w:after="360"/>
      <w:outlineLvl w:val="1"/>
    </w:pPr>
    <w:rPr>
      <w:rFonts w:ascii="Arial" w:eastAsia="Times New Roman" w:hAnsi="Arial"/>
      <w:b/>
      <w:bCs/>
      <w:sz w:val="48"/>
      <w:szCs w:val="26"/>
    </w:rPr>
  </w:style>
  <w:style w:type="paragraph" w:styleId="Heading3">
    <w:name w:val="heading 3"/>
    <w:basedOn w:val="Heading2"/>
    <w:next w:val="Normal"/>
    <w:link w:val="Heading3Char"/>
    <w:qFormat/>
    <w:rsid w:val="00A97CD0"/>
    <w:pPr>
      <w:spacing w:before="360" w:after="240"/>
      <w:outlineLvl w:val="2"/>
    </w:pPr>
    <w:rPr>
      <w:sz w:val="32"/>
    </w:rPr>
  </w:style>
  <w:style w:type="paragraph" w:styleId="Heading4">
    <w:name w:val="heading 4"/>
    <w:basedOn w:val="Normal"/>
    <w:next w:val="Normal"/>
    <w:link w:val="Heading4Char"/>
    <w:qFormat/>
    <w:rsid w:val="002E193A"/>
    <w:pPr>
      <w:spacing w:before="360" w:after="0" w:line="220" w:lineRule="atLeast"/>
      <w:outlineLvl w:val="3"/>
    </w:pPr>
    <w:rPr>
      <w:b/>
      <w:bCs/>
      <w:szCs w:val="21"/>
    </w:rPr>
  </w:style>
  <w:style w:type="paragraph" w:styleId="Heading5">
    <w:name w:val="heading 5"/>
    <w:basedOn w:val="Normal"/>
    <w:next w:val="Normal"/>
    <w:link w:val="Heading5Char"/>
    <w:uiPriority w:val="9"/>
    <w:qFormat/>
    <w:rsid w:val="002E193A"/>
    <w:pPr>
      <w:keepNext/>
      <w:keepLines/>
      <w:spacing w:line="220" w:lineRule="atLeast"/>
      <w:outlineLvl w:val="4"/>
    </w:pPr>
    <w:rPr>
      <w:rFonts w:eastAsia="Times New Roman"/>
      <w:b/>
      <w:bCs/>
      <w:i/>
      <w:color w:val="001523"/>
      <w:szCs w:val="21"/>
    </w:rPr>
  </w:style>
  <w:style w:type="paragraph" w:styleId="Heading6">
    <w:name w:val="heading 6"/>
    <w:basedOn w:val="Normal"/>
    <w:next w:val="Normal"/>
    <w:link w:val="Heading6Char"/>
    <w:uiPriority w:val="9"/>
    <w:qFormat/>
    <w:rsid w:val="002E193A"/>
    <w:pPr>
      <w:spacing w:line="220" w:lineRule="atLeast"/>
      <w:outlineLvl w:val="5"/>
    </w:pPr>
    <w:rPr>
      <w:rFonts w:eastAsia="Times New Roman"/>
      <w:bCs/>
      <w:i/>
      <w:szCs w:val="21"/>
    </w:rPr>
  </w:style>
  <w:style w:type="paragraph" w:styleId="Heading7">
    <w:name w:val="heading 7"/>
    <w:basedOn w:val="Normal"/>
    <w:next w:val="Normal"/>
    <w:link w:val="Heading7Char"/>
    <w:uiPriority w:val="9"/>
    <w:qFormat/>
    <w:rsid w:val="002E193A"/>
    <w:pPr>
      <w:spacing w:after="60" w:line="180" w:lineRule="atLeast"/>
      <w:outlineLvl w:val="6"/>
    </w:pPr>
    <w:rPr>
      <w:rFonts w:eastAsia="Times New Roman"/>
      <w:bCs/>
      <w:sz w:val="18"/>
      <w:szCs w:val="24"/>
    </w:rPr>
  </w:style>
  <w:style w:type="paragraph" w:styleId="Heading8">
    <w:name w:val="heading 8"/>
    <w:basedOn w:val="Normal"/>
    <w:next w:val="Normal"/>
    <w:link w:val="Heading8Char"/>
    <w:uiPriority w:val="9"/>
    <w:semiHidden/>
    <w:unhideWhenUsed/>
    <w:qFormat/>
    <w:rsid w:val="004E0515"/>
    <w:pPr>
      <w:keepNext/>
      <w:keepLines/>
      <w:spacing w:before="200" w:after="0"/>
      <w:outlineLvl w:val="7"/>
    </w:pPr>
    <w:rPr>
      <w:rFonts w:asciiTheme="majorHAnsi" w:eastAsiaTheme="majorEastAsia" w:hAnsiTheme="majorHAnsi" w:cstheme="majorBidi"/>
      <w:color w:val="0070B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C5"/>
    <w:rPr>
      <w:rFonts w:ascii="Arial" w:eastAsia="Times New Roman" w:hAnsi="Arial"/>
      <w:color w:val="002C47"/>
      <w:spacing w:val="5"/>
      <w:kern w:val="28"/>
      <w:sz w:val="52"/>
      <w:szCs w:val="52"/>
      <w:lang w:eastAsia="en-US"/>
    </w:rPr>
  </w:style>
  <w:style w:type="character" w:customStyle="1" w:styleId="Heading2Char">
    <w:name w:val="Heading 2 Char"/>
    <w:basedOn w:val="DefaultParagraphFont"/>
    <w:link w:val="Heading2"/>
    <w:rsid w:val="00CB73C5"/>
    <w:rPr>
      <w:rFonts w:ascii="Arial" w:eastAsia="Times New Roman" w:hAnsi="Arial"/>
      <w:b/>
      <w:bCs/>
      <w:sz w:val="48"/>
      <w:szCs w:val="26"/>
      <w:lang w:eastAsia="en-US"/>
    </w:rPr>
  </w:style>
  <w:style w:type="character" w:customStyle="1" w:styleId="Heading3Char">
    <w:name w:val="Heading 3 Char"/>
    <w:basedOn w:val="DefaultParagraphFont"/>
    <w:link w:val="Heading3"/>
    <w:rsid w:val="00A97CD0"/>
    <w:rPr>
      <w:rFonts w:ascii="Arial" w:eastAsia="Times New Roman" w:hAnsi="Arial"/>
      <w:b/>
      <w:bCs/>
      <w:sz w:val="32"/>
      <w:szCs w:val="26"/>
      <w:lang w:eastAsia="en-US"/>
    </w:rPr>
  </w:style>
  <w:style w:type="paragraph" w:customStyle="1" w:styleId="Address">
    <w:name w:val="Address"/>
    <w:basedOn w:val="Normal"/>
    <w:qFormat/>
    <w:rsid w:val="006F652C"/>
    <w:pPr>
      <w:spacing w:before="0" w:after="0" w:line="240" w:lineRule="auto"/>
    </w:pPr>
    <w:rPr>
      <w:sz w:val="21"/>
    </w:rPr>
  </w:style>
  <w:style w:type="paragraph" w:customStyle="1" w:styleId="AxisLabel">
    <w:name w:val="Axis Label"/>
    <w:basedOn w:val="Normal"/>
    <w:qFormat/>
    <w:rsid w:val="00F3148D"/>
    <w:pPr>
      <w:spacing w:after="0" w:line="240" w:lineRule="auto"/>
    </w:pPr>
    <w:rPr>
      <w:rFonts w:ascii="Arial" w:hAnsi="Arial"/>
      <w:noProof/>
      <w:sz w:val="14"/>
      <w:lang w:eastAsia="en-AU"/>
    </w:rPr>
  </w:style>
  <w:style w:type="paragraph" w:customStyle="1" w:styleId="AxisTitle">
    <w:name w:val="Axis Title"/>
    <w:basedOn w:val="Normal"/>
    <w:qFormat/>
    <w:rsid w:val="00F3148D"/>
    <w:pPr>
      <w:spacing w:after="0" w:line="240" w:lineRule="auto"/>
    </w:pPr>
    <w:rPr>
      <w:rFonts w:ascii="Arial" w:hAnsi="Arial"/>
      <w:sz w:val="16"/>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Caption">
    <w:name w:val="caption"/>
    <w:basedOn w:val="Normal"/>
    <w:next w:val="Normal"/>
    <w:uiPriority w:val="35"/>
    <w:rsid w:val="005D1689"/>
    <w:pPr>
      <w:spacing w:before="120" w:after="120"/>
    </w:pPr>
    <w:rPr>
      <w:sz w:val="19"/>
      <w:szCs w:val="18"/>
    </w:rPr>
  </w:style>
  <w:style w:type="paragraph" w:customStyle="1" w:styleId="Contents">
    <w:name w:val="Contents"/>
    <w:basedOn w:val="Normal"/>
    <w:rsid w:val="005D1689"/>
    <w:pPr>
      <w:spacing w:before="0" w:after="360"/>
    </w:pPr>
    <w:rPr>
      <w:rFonts w:ascii="Arial" w:hAnsi="Arial"/>
      <w:b/>
      <w:sz w:val="64"/>
    </w:rPr>
  </w:style>
  <w:style w:type="paragraph" w:styleId="Date">
    <w:name w:val="Date"/>
    <w:basedOn w:val="Normal"/>
    <w:next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customStyle="1" w:styleId="FigureTitle">
    <w:name w:val="Figure Title"/>
    <w:basedOn w:val="Normal"/>
    <w:qFormat/>
    <w:rsid w:val="009A5BC7"/>
    <w:pPr>
      <w:spacing w:line="220" w:lineRule="atLeast"/>
    </w:pPr>
    <w:rPr>
      <w:b/>
      <w:sz w:val="20"/>
    </w:rPr>
  </w:style>
  <w:style w:type="character" w:customStyle="1" w:styleId="Heading4Char">
    <w:name w:val="Heading 4 Char"/>
    <w:basedOn w:val="DefaultParagraphFont"/>
    <w:link w:val="Heading4"/>
    <w:rsid w:val="00E22953"/>
    <w:rPr>
      <w:b/>
      <w:bCs/>
      <w:sz w:val="22"/>
      <w:szCs w:val="21"/>
      <w:lang w:eastAsia="en-US"/>
    </w:rPr>
  </w:style>
  <w:style w:type="paragraph" w:customStyle="1" w:styleId="FlowChartWhiteHeading">
    <w:name w:val="Flow Chart White Heading"/>
    <w:basedOn w:val="Normal"/>
    <w:rsid w:val="001D7224"/>
    <w:pPr>
      <w:spacing w:before="120"/>
      <w:jc w:val="center"/>
    </w:pPr>
    <w:rPr>
      <w:rFonts w:ascii="Arial" w:hAnsi="Arial"/>
      <w:b/>
      <w:color w:val="FFFFFF"/>
    </w:rPr>
  </w:style>
  <w:style w:type="paragraph" w:customStyle="1" w:styleId="FlowChartBlackHeading">
    <w:name w:val="Flow Chart Black Heading"/>
    <w:basedOn w:val="FlowChartWhiteHeading"/>
    <w:rsid w:val="001D7224"/>
    <w:rPr>
      <w:color w:val="auto"/>
    </w:rPr>
  </w:style>
  <w:style w:type="paragraph" w:customStyle="1" w:styleId="FlowChartWhiteText">
    <w:name w:val="Flow Chart White Text"/>
    <w:basedOn w:val="Normal"/>
    <w:rsid w:val="00F3148D"/>
    <w:pPr>
      <w:spacing w:after="0"/>
      <w:jc w:val="center"/>
    </w:pPr>
    <w:rPr>
      <w:color w:val="FFFFFF"/>
    </w:rPr>
  </w:style>
  <w:style w:type="paragraph" w:customStyle="1" w:styleId="FlowchartText">
    <w:name w:val="Flowchart Text"/>
    <w:basedOn w:val="Normal"/>
    <w:rsid w:val="005A1131"/>
    <w:pPr>
      <w:jc w:val="center"/>
    </w:pPr>
    <w:rPr>
      <w:rFonts w:ascii="Arial" w:hAnsi="Arial"/>
    </w:r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257138"/>
    <w:pPr>
      <w:tabs>
        <w:tab w:val="center" w:pos="4513"/>
        <w:tab w:val="right" w:pos="9026"/>
      </w:tabs>
      <w:spacing w:before="0" w:after="0" w:line="240" w:lineRule="auto"/>
      <w:contextualSpacing/>
    </w:pPr>
    <w:rPr>
      <w:sz w:val="17"/>
    </w:rPr>
  </w:style>
  <w:style w:type="character" w:customStyle="1" w:styleId="FooterChar">
    <w:name w:val="Footer Char"/>
    <w:basedOn w:val="DefaultParagraphFont"/>
    <w:link w:val="Footer"/>
    <w:uiPriority w:val="99"/>
    <w:rsid w:val="00257138"/>
    <w:rPr>
      <w:sz w:val="17"/>
      <w:szCs w:val="22"/>
      <w:lang w:eastAsia="en-US"/>
    </w:rPr>
  </w:style>
  <w:style w:type="paragraph" w:styleId="Header">
    <w:name w:val="header"/>
    <w:basedOn w:val="Normal"/>
    <w:link w:val="HeaderChar"/>
    <w:uiPriority w:val="99"/>
    <w:rsid w:val="006C1F3B"/>
    <w:pPr>
      <w:pBdr>
        <w:bottom w:val="single" w:sz="4" w:space="3" w:color="auto"/>
      </w:pBdr>
      <w:tabs>
        <w:tab w:val="center" w:pos="4513"/>
        <w:tab w:val="right" w:pos="9026"/>
      </w:tabs>
      <w:spacing w:before="0" w:after="480" w:line="240" w:lineRule="auto"/>
      <w:jc w:val="right"/>
    </w:pPr>
    <w:rPr>
      <w:sz w:val="17"/>
    </w:rPr>
  </w:style>
  <w:style w:type="character" w:customStyle="1" w:styleId="HeaderChar">
    <w:name w:val="Header Char"/>
    <w:basedOn w:val="DefaultParagraphFont"/>
    <w:link w:val="Header"/>
    <w:uiPriority w:val="99"/>
    <w:rsid w:val="00F3148D"/>
    <w:rPr>
      <w:rFonts w:ascii="Cambria" w:eastAsia="Cambria" w:hAnsi="Cambria" w:cs="Times New Roman"/>
      <w:sz w:val="17"/>
    </w:rPr>
  </w:style>
  <w:style w:type="paragraph" w:customStyle="1" w:styleId="HeaderNoLine">
    <w:name w:val="Header No Line"/>
    <w:basedOn w:val="Header"/>
    <w:rsid w:val="000F5176"/>
    <w:pPr>
      <w:pBdr>
        <w:bottom w:val="none" w:sz="0" w:space="0" w:color="auto"/>
      </w:pBdr>
      <w:spacing w:after="120"/>
    </w:pPr>
  </w:style>
  <w:style w:type="character" w:customStyle="1" w:styleId="Heading5Char">
    <w:name w:val="Heading 5 Char"/>
    <w:basedOn w:val="DefaultParagraphFont"/>
    <w:link w:val="Heading5"/>
    <w:uiPriority w:val="9"/>
    <w:rsid w:val="00FA639E"/>
    <w:rPr>
      <w:rFonts w:eastAsia="Times New Roman"/>
      <w:b/>
      <w:bCs/>
      <w:i/>
      <w:color w:val="001523"/>
      <w:sz w:val="22"/>
      <w:szCs w:val="21"/>
      <w:lang w:eastAsia="en-US"/>
    </w:rPr>
  </w:style>
  <w:style w:type="character" w:customStyle="1" w:styleId="Heading6Char">
    <w:name w:val="Heading 6 Char"/>
    <w:basedOn w:val="DefaultParagraphFont"/>
    <w:link w:val="Heading6"/>
    <w:uiPriority w:val="9"/>
    <w:rsid w:val="00F3148D"/>
    <w:rPr>
      <w:rFonts w:eastAsia="Times New Roman"/>
      <w:bCs/>
      <w:i/>
      <w:sz w:val="22"/>
      <w:szCs w:val="21"/>
      <w:lang w:eastAsia="en-US"/>
    </w:rPr>
  </w:style>
  <w:style w:type="character" w:customStyle="1" w:styleId="Heading7Char">
    <w:name w:val="Heading 7 Char"/>
    <w:basedOn w:val="DefaultParagraphFont"/>
    <w:link w:val="Heading7"/>
    <w:uiPriority w:val="9"/>
    <w:rsid w:val="00F3148D"/>
    <w:rPr>
      <w:rFonts w:eastAsia="Times New Roman"/>
      <w:bCs/>
      <w:sz w:val="18"/>
      <w:szCs w:val="24"/>
      <w:lang w:eastAsia="en-US"/>
    </w:rPr>
  </w:style>
  <w:style w:type="character" w:styleId="Hyperlink">
    <w:name w:val="Hyperlink"/>
    <w:basedOn w:val="DefaultParagraphFont"/>
    <w:uiPriority w:val="99"/>
    <w:rsid w:val="000B30E5"/>
    <w:rPr>
      <w:color w:val="0000E1"/>
      <w:u w:val="single"/>
      <w:bdr w:val="none" w:sz="0" w:space="0" w:color="auto"/>
    </w:rPr>
  </w:style>
  <w:style w:type="paragraph" w:customStyle="1" w:styleId="Key">
    <w:name w:val="Key"/>
    <w:basedOn w:val="Normal"/>
    <w:qFormat/>
    <w:rsid w:val="00F3148D"/>
    <w:rPr>
      <w:sz w:val="14"/>
    </w:rPr>
  </w:style>
  <w:style w:type="paragraph" w:customStyle="1" w:styleId="LegalCopy">
    <w:name w:val="Legal Copy"/>
    <w:basedOn w:val="Footer"/>
    <w:qFormat/>
    <w:rsid w:val="00A1235B"/>
    <w:pPr>
      <w:contextualSpacing w:val="0"/>
    </w:pPr>
  </w:style>
  <w:style w:type="paragraph" w:customStyle="1" w:styleId="LegalSubheading">
    <w:name w:val="Legal Subheading"/>
    <w:basedOn w:val="Footer"/>
    <w:qFormat/>
    <w:rsid w:val="00F3148D"/>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EA1F09"/>
    <w:pPr>
      <w:numPr>
        <w:numId w:val="7"/>
      </w:numPr>
      <w:spacing w:before="60" w:after="120"/>
    </w:pPr>
  </w:style>
  <w:style w:type="paragraph" w:styleId="ListBullet2">
    <w:name w:val="List Bullet 2"/>
    <w:basedOn w:val="Normal"/>
    <w:uiPriority w:val="99"/>
    <w:qFormat/>
    <w:rsid w:val="00EA1F09"/>
    <w:pPr>
      <w:numPr>
        <w:ilvl w:val="1"/>
        <w:numId w:val="7"/>
      </w:numPr>
      <w:spacing w:before="60" w:after="120"/>
      <w:ind w:left="714" w:hanging="357"/>
    </w:pPr>
  </w:style>
  <w:style w:type="paragraph" w:styleId="ListBullet3">
    <w:name w:val="List Bullet 3"/>
    <w:basedOn w:val="Normal"/>
    <w:uiPriority w:val="99"/>
    <w:qFormat/>
    <w:rsid w:val="00EA1F09"/>
    <w:pPr>
      <w:numPr>
        <w:ilvl w:val="2"/>
        <w:numId w:val="7"/>
      </w:numPr>
      <w:spacing w:before="60"/>
      <w:ind w:left="1077" w:hanging="357"/>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0B6CAE"/>
    <w:pPr>
      <w:keepNext/>
    </w:pPr>
    <w:rPr>
      <w:rFonts w:ascii="Arial" w:hAnsi="Arial"/>
      <w:b/>
      <w:sz w:val="32"/>
    </w:rPr>
  </w:style>
  <w:style w:type="paragraph" w:customStyle="1" w:styleId="Notes">
    <w:name w:val="Notes"/>
    <w:basedOn w:val="Normal"/>
    <w:qFormat/>
    <w:locked/>
    <w:rsid w:val="00F3148D"/>
    <w:pPr>
      <w:spacing w:after="0" w:line="240" w:lineRule="auto"/>
    </w:pPr>
    <w:rPr>
      <w:rFonts w:ascii="Arial" w:hAnsi="Arial"/>
      <w:sz w:val="16"/>
    </w:rPr>
  </w:style>
  <w:style w:type="paragraph" w:customStyle="1" w:styleId="Numberbullet0">
    <w:name w:val="Number bullet"/>
    <w:basedOn w:val="ListBullet"/>
    <w:qFormat/>
    <w:rsid w:val="00357700"/>
    <w:pPr>
      <w:numPr>
        <w:numId w:val="11"/>
      </w:numPr>
    </w:pPr>
  </w:style>
  <w:style w:type="paragraph" w:customStyle="1" w:styleId="Numberbullet2">
    <w:name w:val="Number bullet 2"/>
    <w:basedOn w:val="ListBullet2"/>
    <w:qFormat/>
    <w:rsid w:val="00EA1F09"/>
    <w:pPr>
      <w:numPr>
        <w:numId w:val="11"/>
      </w:numPr>
      <w:ind w:left="850" w:hanging="425"/>
    </w:pPr>
  </w:style>
  <w:style w:type="paragraph" w:customStyle="1" w:styleId="Numberbullet3">
    <w:name w:val="Number bullet 3"/>
    <w:basedOn w:val="ListBullet3"/>
    <w:qFormat/>
    <w:rsid w:val="00357700"/>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after="0" w:line="180" w:lineRule="atLeast"/>
      <w:ind w:hanging="170"/>
    </w:pPr>
    <w:rPr>
      <w:sz w:val="19"/>
    </w:rPr>
  </w:style>
  <w:style w:type="paragraph" w:styleId="Subtitle">
    <w:name w:val="Subtitle"/>
    <w:basedOn w:val="Normal"/>
    <w:link w:val="SubtitleChar"/>
    <w:uiPriority w:val="11"/>
    <w:qFormat/>
    <w:rsid w:val="00DA24C7"/>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DA24C7"/>
    <w:rPr>
      <w:rFonts w:ascii="Arial" w:eastAsia="Times New Roman" w:hAnsi="Arial"/>
      <w:bCs/>
      <w:iCs/>
      <w:color w:val="006DA7"/>
      <w:sz w:val="40"/>
      <w:szCs w:val="24"/>
      <w:lang w:eastAsia="en-US"/>
    </w:rPr>
  </w:style>
  <w:style w:type="table" w:styleId="TableGrid">
    <w:name w:val="Table Grid"/>
    <w:basedOn w:val="TableNormal"/>
    <w:uiPriority w:val="59"/>
    <w:rsid w:val="00F3148D"/>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F3148D"/>
    <w:rPr>
      <w:rFonts w:ascii="Calibri" w:eastAsia="Calibri" w:hAnsi="Calibri"/>
      <w:b/>
      <w:color w:val="FFFFFF"/>
      <w:sz w:val="20"/>
    </w:rPr>
  </w:style>
  <w:style w:type="paragraph" w:customStyle="1" w:styleId="TableHeading1">
    <w:name w:val="Table Heading 1"/>
    <w:basedOn w:val="Normal"/>
    <w:qFormat/>
    <w:rsid w:val="00F3148D"/>
    <w:rPr>
      <w:b/>
      <w:color w:val="FFFFFF"/>
      <w:sz w:val="19"/>
    </w:rPr>
  </w:style>
  <w:style w:type="paragraph" w:customStyle="1" w:styleId="TableHeading2">
    <w:name w:val="Table Heading 2"/>
    <w:basedOn w:val="Normal"/>
    <w:qFormat/>
    <w:rsid w:val="00F3148D"/>
    <w:rPr>
      <w:b/>
      <w:sz w:val="19"/>
    </w:rPr>
  </w:style>
  <w:style w:type="paragraph" w:customStyle="1" w:styleId="Tabletext">
    <w:name w:val="Table text"/>
    <w:basedOn w:val="Normal"/>
    <w:qFormat/>
    <w:rsid w:val="00F3148D"/>
    <w:rPr>
      <w:sz w:val="19"/>
    </w:rPr>
  </w:style>
  <w:style w:type="table" w:customStyle="1" w:styleId="TableTGAblue">
    <w:name w:val="Table TGA blue"/>
    <w:basedOn w:val="TableNormal"/>
    <w:uiPriority w:val="99"/>
    <w:qFormat/>
    <w:rsid w:val="004F484B"/>
    <w:pPr>
      <w:keepNext/>
    </w:pPr>
    <w:rPr>
      <w:color w:val="000000"/>
      <w:sz w:val="22"/>
      <w:szCs w:val="21"/>
    </w:rPr>
    <w:tblPr>
      <w:tblInd w:w="0" w:type="dxa"/>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style>
  <w:style w:type="table" w:customStyle="1" w:styleId="TableTGAblack">
    <w:name w:val="Table TGA black"/>
    <w:basedOn w:val="TableNormal"/>
    <w:uiPriority w:val="99"/>
    <w:rsid w:val="004F484B"/>
    <w:pPr>
      <w:keepNext/>
      <w:spacing w:before="60"/>
    </w:pPr>
    <w:rPr>
      <w:color w:val="000000"/>
      <w:sz w:val="22"/>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22"/>
      </w:rPr>
    </w:tblStylePr>
  </w:style>
  <w:style w:type="paragraph" w:customStyle="1" w:styleId="TableTitle">
    <w:name w:val="Table Title"/>
    <w:basedOn w:val="Normal"/>
    <w:qFormat/>
    <w:rsid w:val="005D1689"/>
    <w:pPr>
      <w:keepNext/>
    </w:pPr>
    <w:rPr>
      <w:b/>
      <w:sz w:val="20"/>
    </w:rPr>
  </w:style>
  <w:style w:type="paragraph" w:customStyle="1" w:styleId="TGASignoff">
    <w:name w:val="TGA Signoff"/>
    <w:basedOn w:val="Normal"/>
    <w:qFormat/>
    <w:rsid w:val="006F652C"/>
    <w:pPr>
      <w:spacing w:after="360"/>
      <w:jc w:val="center"/>
    </w:pPr>
    <w:rPr>
      <w:rFonts w:ascii="Arial" w:hAnsi="Arial"/>
      <w:b/>
      <w:sz w:val="28"/>
    </w:rPr>
  </w:style>
  <w:style w:type="paragraph" w:styleId="Title">
    <w:name w:val="Title"/>
    <w:link w:val="TitleChar"/>
    <w:uiPriority w:val="99"/>
    <w:qFormat/>
    <w:rsid w:val="00F3529E"/>
    <w:pPr>
      <w:spacing w:after="120"/>
      <w:contextualSpacing/>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99"/>
    <w:rsid w:val="00F3529E"/>
    <w:rPr>
      <w:rFonts w:ascii="Arial" w:eastAsia="Times New Roman" w:hAnsi="Arial"/>
      <w:color w:val="002C47"/>
      <w:spacing w:val="5"/>
      <w:kern w:val="28"/>
      <w:sz w:val="52"/>
      <w:szCs w:val="52"/>
      <w:lang w:eastAsia="en-US"/>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1525B4"/>
    <w:pPr>
      <w:tabs>
        <w:tab w:val="right" w:leader="underscore" w:pos="8505"/>
      </w:tabs>
      <w:spacing w:after="100"/>
      <w:ind w:left="1021"/>
    </w:pPr>
    <w:rPr>
      <w:sz w:val="21"/>
    </w:rPr>
  </w:style>
  <w:style w:type="paragraph" w:styleId="TOCHeading">
    <w:name w:val="TOC Heading"/>
    <w:basedOn w:val="Heading1"/>
    <w:next w:val="Normal"/>
    <w:uiPriority w:val="39"/>
    <w:semiHidden/>
    <w:unhideWhenUsed/>
    <w:qFormat/>
    <w:rsid w:val="00F3148D"/>
    <w:pPr>
      <w:framePr w:wrap="around"/>
      <w:spacing w:after="0" w:line="276" w:lineRule="auto"/>
      <w:outlineLvl w:val="9"/>
    </w:pPr>
    <w:rPr>
      <w:color w:val="002035"/>
      <w:sz w:val="28"/>
      <w:lang w:val="en-US"/>
    </w:rPr>
  </w:style>
  <w:style w:type="paragraph" w:customStyle="1" w:styleId="Subject">
    <w:name w:val="Subject"/>
    <w:basedOn w:val="Normal"/>
    <w:qFormat/>
    <w:rsid w:val="00D153B1"/>
    <w:rPr>
      <w:b/>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nhideWhenUsed/>
    <w:rsid w:val="001525B4"/>
    <w:pPr>
      <w:spacing w:before="0" w:after="0" w:line="240" w:lineRule="auto"/>
    </w:pPr>
    <w:rPr>
      <w:sz w:val="20"/>
      <w:szCs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nhideWhenUsed/>
    <w:rsid w:val="001525B4"/>
    <w:rPr>
      <w:vertAlign w:val="superscript"/>
    </w:rPr>
  </w:style>
  <w:style w:type="paragraph" w:customStyle="1" w:styleId="Footnote">
    <w:name w:val="Footnote"/>
    <w:basedOn w:val="FootnoteText"/>
    <w:qFormat/>
    <w:rsid w:val="001525B4"/>
    <w:pPr>
      <w:spacing w:after="240"/>
    </w:pPr>
  </w:style>
  <w:style w:type="paragraph" w:styleId="ListParagraph">
    <w:name w:val="List Paragraph"/>
    <w:basedOn w:val="Normal"/>
    <w:uiPriority w:val="34"/>
    <w:qFormat/>
    <w:rsid w:val="0018660B"/>
    <w:pPr>
      <w:ind w:left="720"/>
      <w:contextualSpacing/>
    </w:pPr>
  </w:style>
  <w:style w:type="paragraph" w:customStyle="1" w:styleId="FigureDescription">
    <w:name w:val="Figure Description"/>
    <w:basedOn w:val="Normal"/>
    <w:next w:val="Normal"/>
    <w:qFormat/>
    <w:rsid w:val="006A38E4"/>
    <w:pPr>
      <w:spacing w:before="120" w:after="0"/>
    </w:pPr>
    <w:rPr>
      <w:sz w:val="19"/>
    </w:rPr>
  </w:style>
  <w:style w:type="paragraph" w:customStyle="1" w:styleId="TableDescription">
    <w:name w:val="Table Description"/>
    <w:basedOn w:val="FigureDescription"/>
    <w:qFormat/>
    <w:rsid w:val="00016BEB"/>
    <w:pPr>
      <w:keepNext/>
      <w:spacing w:after="240"/>
    </w:pPr>
    <w:rPr>
      <w:szCs w:val="19"/>
    </w:rPr>
  </w:style>
  <w:style w:type="character" w:customStyle="1" w:styleId="Heading8Char">
    <w:name w:val="Heading 8 Char"/>
    <w:basedOn w:val="DefaultParagraphFont"/>
    <w:link w:val="Heading8"/>
    <w:uiPriority w:val="9"/>
    <w:semiHidden/>
    <w:rsid w:val="004E0515"/>
    <w:rPr>
      <w:rFonts w:asciiTheme="majorHAnsi" w:eastAsiaTheme="majorEastAsia" w:hAnsiTheme="majorHAnsi" w:cstheme="majorBidi"/>
      <w:color w:val="0070B5" w:themeColor="text1" w:themeTint="BF"/>
      <w:lang w:eastAsia="en-US"/>
    </w:rPr>
  </w:style>
  <w:style w:type="paragraph" w:styleId="BodyText2">
    <w:name w:val="Body Text 2"/>
    <w:basedOn w:val="Normal"/>
    <w:link w:val="BodyText2Char"/>
    <w:uiPriority w:val="99"/>
    <w:rsid w:val="004E0515"/>
    <w:pPr>
      <w:spacing w:before="0" w:after="0"/>
      <w:ind w:left="349"/>
    </w:pPr>
    <w:rPr>
      <w:rFonts w:ascii="Arial" w:eastAsia="Times New Roman" w:hAnsi="Arial" w:cs="Arial"/>
      <w:color w:val="000000"/>
      <w:lang w:val="en-US"/>
    </w:rPr>
  </w:style>
  <w:style w:type="character" w:customStyle="1" w:styleId="BodyText2Char">
    <w:name w:val="Body Text 2 Char"/>
    <w:basedOn w:val="DefaultParagraphFont"/>
    <w:link w:val="BodyText2"/>
    <w:uiPriority w:val="99"/>
    <w:rsid w:val="004E0515"/>
    <w:rPr>
      <w:rFonts w:ascii="Arial" w:eastAsia="Times New Roman" w:hAnsi="Arial" w:cs="Arial"/>
      <w:color w:val="000000"/>
      <w:sz w:val="22"/>
      <w:szCs w:val="22"/>
      <w:lang w:val="en-US" w:eastAsia="en-US"/>
    </w:rPr>
  </w:style>
  <w:style w:type="paragraph" w:styleId="NoSpacing">
    <w:name w:val="No Spacing"/>
    <w:link w:val="NoSpacingChar"/>
    <w:uiPriority w:val="1"/>
    <w:qFormat/>
    <w:rsid w:val="00FD507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D507B"/>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semiHidden="0" w:uiPriority="35" w:unhideWhenUsed="0"/>
    <w:lsdException w:name="footnote reference" w:uiPriority="0"/>
    <w:lsdException w:name="List Bullet" w:semiHidden="0" w:unhideWhenUsed="0" w:qFormat="1"/>
    <w:lsdException w:name="List Bullet 2" w:semiHidden="0" w:unhideWhenUsed="0" w:qFormat="1"/>
    <w:lsdException w:name="List Bullet 3" w:qFormat="1"/>
    <w:lsdException w:name="Title" w:semiHidden="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1551"/>
    <w:pPr>
      <w:spacing w:before="180" w:after="180" w:line="240" w:lineRule="atLeast"/>
    </w:pPr>
    <w:rPr>
      <w:sz w:val="22"/>
      <w:szCs w:val="22"/>
      <w:lang w:eastAsia="en-US"/>
    </w:rPr>
  </w:style>
  <w:style w:type="paragraph" w:styleId="Heading1">
    <w:name w:val="heading 1"/>
    <w:basedOn w:val="Title"/>
    <w:next w:val="Normal"/>
    <w:link w:val="Heading1Char"/>
    <w:qFormat/>
    <w:rsid w:val="002E193A"/>
    <w:pPr>
      <w:framePr w:hSpace="180" w:wrap="around" w:vAnchor="page" w:hAnchor="margin" w:y="3271"/>
      <w:outlineLvl w:val="0"/>
    </w:pPr>
  </w:style>
  <w:style w:type="paragraph" w:styleId="Heading2">
    <w:name w:val="heading 2"/>
    <w:basedOn w:val="Normal"/>
    <w:next w:val="Normal"/>
    <w:link w:val="Heading2Char"/>
    <w:qFormat/>
    <w:rsid w:val="002E193A"/>
    <w:pPr>
      <w:keepNext/>
      <w:keepLines/>
      <w:spacing w:before="480" w:after="360"/>
      <w:outlineLvl w:val="1"/>
    </w:pPr>
    <w:rPr>
      <w:rFonts w:ascii="Arial" w:eastAsia="Times New Roman" w:hAnsi="Arial"/>
      <w:b/>
      <w:bCs/>
      <w:sz w:val="48"/>
      <w:szCs w:val="26"/>
    </w:rPr>
  </w:style>
  <w:style w:type="paragraph" w:styleId="Heading3">
    <w:name w:val="heading 3"/>
    <w:basedOn w:val="Heading2"/>
    <w:next w:val="Normal"/>
    <w:link w:val="Heading3Char"/>
    <w:qFormat/>
    <w:rsid w:val="00A97CD0"/>
    <w:pPr>
      <w:spacing w:before="360" w:after="240"/>
      <w:outlineLvl w:val="2"/>
    </w:pPr>
    <w:rPr>
      <w:sz w:val="32"/>
    </w:rPr>
  </w:style>
  <w:style w:type="paragraph" w:styleId="Heading4">
    <w:name w:val="heading 4"/>
    <w:basedOn w:val="Normal"/>
    <w:next w:val="Normal"/>
    <w:link w:val="Heading4Char"/>
    <w:qFormat/>
    <w:rsid w:val="002E193A"/>
    <w:pPr>
      <w:spacing w:before="360" w:after="0" w:line="220" w:lineRule="atLeast"/>
      <w:outlineLvl w:val="3"/>
    </w:pPr>
    <w:rPr>
      <w:b/>
      <w:bCs/>
      <w:szCs w:val="21"/>
    </w:rPr>
  </w:style>
  <w:style w:type="paragraph" w:styleId="Heading5">
    <w:name w:val="heading 5"/>
    <w:basedOn w:val="Normal"/>
    <w:next w:val="Normal"/>
    <w:link w:val="Heading5Char"/>
    <w:uiPriority w:val="9"/>
    <w:qFormat/>
    <w:rsid w:val="002E193A"/>
    <w:pPr>
      <w:keepNext/>
      <w:keepLines/>
      <w:spacing w:line="220" w:lineRule="atLeast"/>
      <w:outlineLvl w:val="4"/>
    </w:pPr>
    <w:rPr>
      <w:rFonts w:eastAsia="Times New Roman"/>
      <w:b/>
      <w:bCs/>
      <w:i/>
      <w:color w:val="001523"/>
      <w:szCs w:val="21"/>
    </w:rPr>
  </w:style>
  <w:style w:type="paragraph" w:styleId="Heading6">
    <w:name w:val="heading 6"/>
    <w:basedOn w:val="Normal"/>
    <w:next w:val="Normal"/>
    <w:link w:val="Heading6Char"/>
    <w:uiPriority w:val="9"/>
    <w:qFormat/>
    <w:rsid w:val="002E193A"/>
    <w:pPr>
      <w:spacing w:line="220" w:lineRule="atLeast"/>
      <w:outlineLvl w:val="5"/>
    </w:pPr>
    <w:rPr>
      <w:rFonts w:eastAsia="Times New Roman"/>
      <w:bCs/>
      <w:i/>
      <w:szCs w:val="21"/>
    </w:rPr>
  </w:style>
  <w:style w:type="paragraph" w:styleId="Heading7">
    <w:name w:val="heading 7"/>
    <w:basedOn w:val="Normal"/>
    <w:next w:val="Normal"/>
    <w:link w:val="Heading7Char"/>
    <w:uiPriority w:val="9"/>
    <w:qFormat/>
    <w:rsid w:val="002E193A"/>
    <w:pPr>
      <w:spacing w:after="60" w:line="180" w:lineRule="atLeast"/>
      <w:outlineLvl w:val="6"/>
    </w:pPr>
    <w:rPr>
      <w:rFonts w:eastAsia="Times New Roman"/>
      <w:bCs/>
      <w:sz w:val="18"/>
      <w:szCs w:val="24"/>
    </w:rPr>
  </w:style>
  <w:style w:type="paragraph" w:styleId="Heading8">
    <w:name w:val="heading 8"/>
    <w:basedOn w:val="Normal"/>
    <w:next w:val="Normal"/>
    <w:link w:val="Heading8Char"/>
    <w:uiPriority w:val="9"/>
    <w:semiHidden/>
    <w:unhideWhenUsed/>
    <w:qFormat/>
    <w:rsid w:val="004E0515"/>
    <w:pPr>
      <w:keepNext/>
      <w:keepLines/>
      <w:spacing w:before="200" w:after="0"/>
      <w:outlineLvl w:val="7"/>
    </w:pPr>
    <w:rPr>
      <w:rFonts w:asciiTheme="majorHAnsi" w:eastAsiaTheme="majorEastAsia" w:hAnsiTheme="majorHAnsi" w:cstheme="majorBidi"/>
      <w:color w:val="0070B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C5"/>
    <w:rPr>
      <w:rFonts w:ascii="Arial" w:eastAsia="Times New Roman" w:hAnsi="Arial"/>
      <w:color w:val="002C47"/>
      <w:spacing w:val="5"/>
      <w:kern w:val="28"/>
      <w:sz w:val="52"/>
      <w:szCs w:val="52"/>
      <w:lang w:eastAsia="en-US"/>
    </w:rPr>
  </w:style>
  <w:style w:type="character" w:customStyle="1" w:styleId="Heading2Char">
    <w:name w:val="Heading 2 Char"/>
    <w:basedOn w:val="DefaultParagraphFont"/>
    <w:link w:val="Heading2"/>
    <w:rsid w:val="00CB73C5"/>
    <w:rPr>
      <w:rFonts w:ascii="Arial" w:eastAsia="Times New Roman" w:hAnsi="Arial"/>
      <w:b/>
      <w:bCs/>
      <w:sz w:val="48"/>
      <w:szCs w:val="26"/>
      <w:lang w:eastAsia="en-US"/>
    </w:rPr>
  </w:style>
  <w:style w:type="character" w:customStyle="1" w:styleId="Heading3Char">
    <w:name w:val="Heading 3 Char"/>
    <w:basedOn w:val="DefaultParagraphFont"/>
    <w:link w:val="Heading3"/>
    <w:rsid w:val="00A97CD0"/>
    <w:rPr>
      <w:rFonts w:ascii="Arial" w:eastAsia="Times New Roman" w:hAnsi="Arial"/>
      <w:b/>
      <w:bCs/>
      <w:sz w:val="32"/>
      <w:szCs w:val="26"/>
      <w:lang w:eastAsia="en-US"/>
    </w:rPr>
  </w:style>
  <w:style w:type="paragraph" w:customStyle="1" w:styleId="Address">
    <w:name w:val="Address"/>
    <w:basedOn w:val="Normal"/>
    <w:qFormat/>
    <w:rsid w:val="006F652C"/>
    <w:pPr>
      <w:spacing w:before="0" w:after="0" w:line="240" w:lineRule="auto"/>
    </w:pPr>
    <w:rPr>
      <w:sz w:val="21"/>
    </w:rPr>
  </w:style>
  <w:style w:type="paragraph" w:customStyle="1" w:styleId="AxisLabel">
    <w:name w:val="Axis Label"/>
    <w:basedOn w:val="Normal"/>
    <w:qFormat/>
    <w:rsid w:val="00F3148D"/>
    <w:pPr>
      <w:spacing w:after="0" w:line="240" w:lineRule="auto"/>
    </w:pPr>
    <w:rPr>
      <w:rFonts w:ascii="Arial" w:hAnsi="Arial"/>
      <w:noProof/>
      <w:sz w:val="14"/>
      <w:lang w:eastAsia="en-AU"/>
    </w:rPr>
  </w:style>
  <w:style w:type="paragraph" w:customStyle="1" w:styleId="AxisTitle">
    <w:name w:val="Axis Title"/>
    <w:basedOn w:val="Normal"/>
    <w:qFormat/>
    <w:rsid w:val="00F3148D"/>
    <w:pPr>
      <w:spacing w:after="0" w:line="240" w:lineRule="auto"/>
    </w:pPr>
    <w:rPr>
      <w:rFonts w:ascii="Arial" w:hAnsi="Arial"/>
      <w:sz w:val="16"/>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Caption">
    <w:name w:val="caption"/>
    <w:basedOn w:val="Normal"/>
    <w:next w:val="Normal"/>
    <w:uiPriority w:val="35"/>
    <w:rsid w:val="005D1689"/>
    <w:pPr>
      <w:spacing w:before="120" w:after="120"/>
    </w:pPr>
    <w:rPr>
      <w:sz w:val="19"/>
      <w:szCs w:val="18"/>
    </w:rPr>
  </w:style>
  <w:style w:type="paragraph" w:customStyle="1" w:styleId="Contents">
    <w:name w:val="Contents"/>
    <w:basedOn w:val="Normal"/>
    <w:rsid w:val="005D1689"/>
    <w:pPr>
      <w:spacing w:before="0" w:after="360"/>
    </w:pPr>
    <w:rPr>
      <w:rFonts w:ascii="Arial" w:hAnsi="Arial"/>
      <w:b/>
      <w:sz w:val="64"/>
    </w:rPr>
  </w:style>
  <w:style w:type="paragraph" w:styleId="Date">
    <w:name w:val="Date"/>
    <w:basedOn w:val="Normal"/>
    <w:next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customStyle="1" w:styleId="FigureTitle">
    <w:name w:val="Figure Title"/>
    <w:basedOn w:val="Normal"/>
    <w:qFormat/>
    <w:rsid w:val="009A5BC7"/>
    <w:pPr>
      <w:spacing w:line="220" w:lineRule="atLeast"/>
    </w:pPr>
    <w:rPr>
      <w:b/>
      <w:sz w:val="20"/>
    </w:rPr>
  </w:style>
  <w:style w:type="character" w:customStyle="1" w:styleId="Heading4Char">
    <w:name w:val="Heading 4 Char"/>
    <w:basedOn w:val="DefaultParagraphFont"/>
    <w:link w:val="Heading4"/>
    <w:rsid w:val="00E22953"/>
    <w:rPr>
      <w:b/>
      <w:bCs/>
      <w:sz w:val="22"/>
      <w:szCs w:val="21"/>
      <w:lang w:eastAsia="en-US"/>
    </w:rPr>
  </w:style>
  <w:style w:type="paragraph" w:customStyle="1" w:styleId="FlowChartWhiteHeading">
    <w:name w:val="Flow Chart White Heading"/>
    <w:basedOn w:val="Normal"/>
    <w:rsid w:val="001D7224"/>
    <w:pPr>
      <w:spacing w:before="120"/>
      <w:jc w:val="center"/>
    </w:pPr>
    <w:rPr>
      <w:rFonts w:ascii="Arial" w:hAnsi="Arial"/>
      <w:b/>
      <w:color w:val="FFFFFF"/>
    </w:rPr>
  </w:style>
  <w:style w:type="paragraph" w:customStyle="1" w:styleId="FlowChartBlackHeading">
    <w:name w:val="Flow Chart Black Heading"/>
    <w:basedOn w:val="FlowChartWhiteHeading"/>
    <w:rsid w:val="001D7224"/>
    <w:rPr>
      <w:color w:val="auto"/>
    </w:rPr>
  </w:style>
  <w:style w:type="paragraph" w:customStyle="1" w:styleId="FlowChartWhiteText">
    <w:name w:val="Flow Chart White Text"/>
    <w:basedOn w:val="Normal"/>
    <w:rsid w:val="00F3148D"/>
    <w:pPr>
      <w:spacing w:after="0"/>
      <w:jc w:val="center"/>
    </w:pPr>
    <w:rPr>
      <w:color w:val="FFFFFF"/>
    </w:rPr>
  </w:style>
  <w:style w:type="paragraph" w:customStyle="1" w:styleId="FlowchartText">
    <w:name w:val="Flowchart Text"/>
    <w:basedOn w:val="Normal"/>
    <w:rsid w:val="005A1131"/>
    <w:pPr>
      <w:jc w:val="center"/>
    </w:pPr>
    <w:rPr>
      <w:rFonts w:ascii="Arial" w:hAnsi="Arial"/>
    </w:r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257138"/>
    <w:pPr>
      <w:tabs>
        <w:tab w:val="center" w:pos="4513"/>
        <w:tab w:val="right" w:pos="9026"/>
      </w:tabs>
      <w:spacing w:before="0" w:after="0" w:line="240" w:lineRule="auto"/>
      <w:contextualSpacing/>
    </w:pPr>
    <w:rPr>
      <w:sz w:val="17"/>
    </w:rPr>
  </w:style>
  <w:style w:type="character" w:customStyle="1" w:styleId="FooterChar">
    <w:name w:val="Footer Char"/>
    <w:basedOn w:val="DefaultParagraphFont"/>
    <w:link w:val="Footer"/>
    <w:uiPriority w:val="99"/>
    <w:rsid w:val="00257138"/>
    <w:rPr>
      <w:sz w:val="17"/>
      <w:szCs w:val="22"/>
      <w:lang w:eastAsia="en-US"/>
    </w:rPr>
  </w:style>
  <w:style w:type="paragraph" w:styleId="Header">
    <w:name w:val="header"/>
    <w:basedOn w:val="Normal"/>
    <w:link w:val="HeaderChar"/>
    <w:uiPriority w:val="99"/>
    <w:rsid w:val="006C1F3B"/>
    <w:pPr>
      <w:pBdr>
        <w:bottom w:val="single" w:sz="4" w:space="3" w:color="auto"/>
      </w:pBdr>
      <w:tabs>
        <w:tab w:val="center" w:pos="4513"/>
        <w:tab w:val="right" w:pos="9026"/>
      </w:tabs>
      <w:spacing w:before="0" w:after="480" w:line="240" w:lineRule="auto"/>
      <w:jc w:val="right"/>
    </w:pPr>
    <w:rPr>
      <w:sz w:val="17"/>
    </w:rPr>
  </w:style>
  <w:style w:type="character" w:customStyle="1" w:styleId="HeaderChar">
    <w:name w:val="Header Char"/>
    <w:basedOn w:val="DefaultParagraphFont"/>
    <w:link w:val="Header"/>
    <w:uiPriority w:val="99"/>
    <w:rsid w:val="00F3148D"/>
    <w:rPr>
      <w:rFonts w:ascii="Cambria" w:eastAsia="Cambria" w:hAnsi="Cambria" w:cs="Times New Roman"/>
      <w:sz w:val="17"/>
    </w:rPr>
  </w:style>
  <w:style w:type="paragraph" w:customStyle="1" w:styleId="HeaderNoLine">
    <w:name w:val="Header No Line"/>
    <w:basedOn w:val="Header"/>
    <w:rsid w:val="000F5176"/>
    <w:pPr>
      <w:pBdr>
        <w:bottom w:val="none" w:sz="0" w:space="0" w:color="auto"/>
      </w:pBdr>
      <w:spacing w:after="120"/>
    </w:pPr>
  </w:style>
  <w:style w:type="character" w:customStyle="1" w:styleId="Heading5Char">
    <w:name w:val="Heading 5 Char"/>
    <w:basedOn w:val="DefaultParagraphFont"/>
    <w:link w:val="Heading5"/>
    <w:uiPriority w:val="9"/>
    <w:rsid w:val="00FA639E"/>
    <w:rPr>
      <w:rFonts w:eastAsia="Times New Roman"/>
      <w:b/>
      <w:bCs/>
      <w:i/>
      <w:color w:val="001523"/>
      <w:sz w:val="22"/>
      <w:szCs w:val="21"/>
      <w:lang w:eastAsia="en-US"/>
    </w:rPr>
  </w:style>
  <w:style w:type="character" w:customStyle="1" w:styleId="Heading6Char">
    <w:name w:val="Heading 6 Char"/>
    <w:basedOn w:val="DefaultParagraphFont"/>
    <w:link w:val="Heading6"/>
    <w:uiPriority w:val="9"/>
    <w:rsid w:val="00F3148D"/>
    <w:rPr>
      <w:rFonts w:eastAsia="Times New Roman"/>
      <w:bCs/>
      <w:i/>
      <w:sz w:val="22"/>
      <w:szCs w:val="21"/>
      <w:lang w:eastAsia="en-US"/>
    </w:rPr>
  </w:style>
  <w:style w:type="character" w:customStyle="1" w:styleId="Heading7Char">
    <w:name w:val="Heading 7 Char"/>
    <w:basedOn w:val="DefaultParagraphFont"/>
    <w:link w:val="Heading7"/>
    <w:uiPriority w:val="9"/>
    <w:rsid w:val="00F3148D"/>
    <w:rPr>
      <w:rFonts w:eastAsia="Times New Roman"/>
      <w:bCs/>
      <w:sz w:val="18"/>
      <w:szCs w:val="24"/>
      <w:lang w:eastAsia="en-US"/>
    </w:rPr>
  </w:style>
  <w:style w:type="character" w:styleId="Hyperlink">
    <w:name w:val="Hyperlink"/>
    <w:basedOn w:val="DefaultParagraphFont"/>
    <w:uiPriority w:val="99"/>
    <w:rsid w:val="000B30E5"/>
    <w:rPr>
      <w:color w:val="0000E1"/>
      <w:u w:val="single"/>
      <w:bdr w:val="none" w:sz="0" w:space="0" w:color="auto"/>
    </w:rPr>
  </w:style>
  <w:style w:type="paragraph" w:customStyle="1" w:styleId="Key">
    <w:name w:val="Key"/>
    <w:basedOn w:val="Normal"/>
    <w:qFormat/>
    <w:rsid w:val="00F3148D"/>
    <w:rPr>
      <w:sz w:val="14"/>
    </w:rPr>
  </w:style>
  <w:style w:type="paragraph" w:customStyle="1" w:styleId="LegalCopy">
    <w:name w:val="Legal Copy"/>
    <w:basedOn w:val="Footer"/>
    <w:qFormat/>
    <w:rsid w:val="00A1235B"/>
    <w:pPr>
      <w:contextualSpacing w:val="0"/>
    </w:pPr>
  </w:style>
  <w:style w:type="paragraph" w:customStyle="1" w:styleId="LegalSubheading">
    <w:name w:val="Legal Subheading"/>
    <w:basedOn w:val="Footer"/>
    <w:qFormat/>
    <w:rsid w:val="00F3148D"/>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EA1F09"/>
    <w:pPr>
      <w:numPr>
        <w:numId w:val="7"/>
      </w:numPr>
      <w:spacing w:before="60" w:after="120"/>
    </w:pPr>
  </w:style>
  <w:style w:type="paragraph" w:styleId="ListBullet2">
    <w:name w:val="List Bullet 2"/>
    <w:basedOn w:val="Normal"/>
    <w:uiPriority w:val="99"/>
    <w:qFormat/>
    <w:rsid w:val="00EA1F09"/>
    <w:pPr>
      <w:numPr>
        <w:ilvl w:val="1"/>
        <w:numId w:val="7"/>
      </w:numPr>
      <w:spacing w:before="60" w:after="120"/>
      <w:ind w:left="714" w:hanging="357"/>
    </w:pPr>
  </w:style>
  <w:style w:type="paragraph" w:styleId="ListBullet3">
    <w:name w:val="List Bullet 3"/>
    <w:basedOn w:val="Normal"/>
    <w:uiPriority w:val="99"/>
    <w:qFormat/>
    <w:rsid w:val="00EA1F09"/>
    <w:pPr>
      <w:numPr>
        <w:ilvl w:val="2"/>
        <w:numId w:val="7"/>
      </w:numPr>
      <w:spacing w:before="60"/>
      <w:ind w:left="1077" w:hanging="357"/>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0B6CAE"/>
    <w:pPr>
      <w:keepNext/>
    </w:pPr>
    <w:rPr>
      <w:rFonts w:ascii="Arial" w:hAnsi="Arial"/>
      <w:b/>
      <w:sz w:val="32"/>
    </w:rPr>
  </w:style>
  <w:style w:type="paragraph" w:customStyle="1" w:styleId="Notes">
    <w:name w:val="Notes"/>
    <w:basedOn w:val="Normal"/>
    <w:qFormat/>
    <w:locked/>
    <w:rsid w:val="00F3148D"/>
    <w:pPr>
      <w:spacing w:after="0" w:line="240" w:lineRule="auto"/>
    </w:pPr>
    <w:rPr>
      <w:rFonts w:ascii="Arial" w:hAnsi="Arial"/>
      <w:sz w:val="16"/>
    </w:rPr>
  </w:style>
  <w:style w:type="paragraph" w:customStyle="1" w:styleId="Numberbullet0">
    <w:name w:val="Number bullet"/>
    <w:basedOn w:val="ListBullet"/>
    <w:qFormat/>
    <w:rsid w:val="00357700"/>
    <w:pPr>
      <w:numPr>
        <w:numId w:val="11"/>
      </w:numPr>
    </w:pPr>
  </w:style>
  <w:style w:type="paragraph" w:customStyle="1" w:styleId="Numberbullet2">
    <w:name w:val="Number bullet 2"/>
    <w:basedOn w:val="ListBullet2"/>
    <w:qFormat/>
    <w:rsid w:val="00EA1F09"/>
    <w:pPr>
      <w:numPr>
        <w:numId w:val="11"/>
      </w:numPr>
      <w:ind w:left="850" w:hanging="425"/>
    </w:pPr>
  </w:style>
  <w:style w:type="paragraph" w:customStyle="1" w:styleId="Numberbullet3">
    <w:name w:val="Number bullet 3"/>
    <w:basedOn w:val="ListBullet3"/>
    <w:qFormat/>
    <w:rsid w:val="00357700"/>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after="0" w:line="180" w:lineRule="atLeast"/>
      <w:ind w:hanging="170"/>
    </w:pPr>
    <w:rPr>
      <w:sz w:val="19"/>
    </w:rPr>
  </w:style>
  <w:style w:type="paragraph" w:styleId="Subtitle">
    <w:name w:val="Subtitle"/>
    <w:basedOn w:val="Normal"/>
    <w:link w:val="SubtitleChar"/>
    <w:uiPriority w:val="11"/>
    <w:qFormat/>
    <w:rsid w:val="00DA24C7"/>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DA24C7"/>
    <w:rPr>
      <w:rFonts w:ascii="Arial" w:eastAsia="Times New Roman" w:hAnsi="Arial"/>
      <w:bCs/>
      <w:iCs/>
      <w:color w:val="006DA7"/>
      <w:sz w:val="40"/>
      <w:szCs w:val="24"/>
      <w:lang w:eastAsia="en-US"/>
    </w:rPr>
  </w:style>
  <w:style w:type="table" w:styleId="TableGrid">
    <w:name w:val="Table Grid"/>
    <w:basedOn w:val="TableNormal"/>
    <w:uiPriority w:val="59"/>
    <w:rsid w:val="00F3148D"/>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F3148D"/>
    <w:rPr>
      <w:rFonts w:ascii="Calibri" w:eastAsia="Calibri" w:hAnsi="Calibri"/>
      <w:b/>
      <w:color w:val="FFFFFF"/>
      <w:sz w:val="20"/>
    </w:rPr>
  </w:style>
  <w:style w:type="paragraph" w:customStyle="1" w:styleId="TableHeading1">
    <w:name w:val="Table Heading 1"/>
    <w:basedOn w:val="Normal"/>
    <w:qFormat/>
    <w:rsid w:val="00F3148D"/>
    <w:rPr>
      <w:b/>
      <w:color w:val="FFFFFF"/>
      <w:sz w:val="19"/>
    </w:rPr>
  </w:style>
  <w:style w:type="paragraph" w:customStyle="1" w:styleId="TableHeading2">
    <w:name w:val="Table Heading 2"/>
    <w:basedOn w:val="Normal"/>
    <w:qFormat/>
    <w:rsid w:val="00F3148D"/>
    <w:rPr>
      <w:b/>
      <w:sz w:val="19"/>
    </w:rPr>
  </w:style>
  <w:style w:type="paragraph" w:customStyle="1" w:styleId="Tabletext">
    <w:name w:val="Table text"/>
    <w:basedOn w:val="Normal"/>
    <w:qFormat/>
    <w:rsid w:val="00F3148D"/>
    <w:rPr>
      <w:sz w:val="19"/>
    </w:rPr>
  </w:style>
  <w:style w:type="table" w:customStyle="1" w:styleId="TableTGAblue">
    <w:name w:val="Table TGA blue"/>
    <w:basedOn w:val="TableNormal"/>
    <w:uiPriority w:val="99"/>
    <w:qFormat/>
    <w:rsid w:val="004F484B"/>
    <w:pPr>
      <w:keepNext/>
    </w:pPr>
    <w:rPr>
      <w:color w:val="000000"/>
      <w:sz w:val="22"/>
      <w:szCs w:val="21"/>
    </w:rPr>
    <w:tblPr>
      <w:tblInd w:w="0" w:type="dxa"/>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style>
  <w:style w:type="table" w:customStyle="1" w:styleId="TableTGAblack">
    <w:name w:val="Table TGA black"/>
    <w:basedOn w:val="TableNormal"/>
    <w:uiPriority w:val="99"/>
    <w:rsid w:val="004F484B"/>
    <w:pPr>
      <w:keepNext/>
      <w:spacing w:before="60"/>
    </w:pPr>
    <w:rPr>
      <w:color w:val="000000"/>
      <w:sz w:val="22"/>
      <w:szCs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22"/>
      </w:rPr>
    </w:tblStylePr>
  </w:style>
  <w:style w:type="paragraph" w:customStyle="1" w:styleId="TableTitle">
    <w:name w:val="Table Title"/>
    <w:basedOn w:val="Normal"/>
    <w:qFormat/>
    <w:rsid w:val="005D1689"/>
    <w:pPr>
      <w:keepNext/>
    </w:pPr>
    <w:rPr>
      <w:b/>
      <w:sz w:val="20"/>
    </w:rPr>
  </w:style>
  <w:style w:type="paragraph" w:customStyle="1" w:styleId="TGASignoff">
    <w:name w:val="TGA Signoff"/>
    <w:basedOn w:val="Normal"/>
    <w:qFormat/>
    <w:rsid w:val="006F652C"/>
    <w:pPr>
      <w:spacing w:after="360"/>
      <w:jc w:val="center"/>
    </w:pPr>
    <w:rPr>
      <w:rFonts w:ascii="Arial" w:hAnsi="Arial"/>
      <w:b/>
      <w:sz w:val="28"/>
    </w:rPr>
  </w:style>
  <w:style w:type="paragraph" w:styleId="Title">
    <w:name w:val="Title"/>
    <w:link w:val="TitleChar"/>
    <w:uiPriority w:val="99"/>
    <w:qFormat/>
    <w:rsid w:val="00F3529E"/>
    <w:pPr>
      <w:spacing w:after="120"/>
      <w:contextualSpacing/>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99"/>
    <w:rsid w:val="00F3529E"/>
    <w:rPr>
      <w:rFonts w:ascii="Arial" w:eastAsia="Times New Roman" w:hAnsi="Arial"/>
      <w:color w:val="002C47"/>
      <w:spacing w:val="5"/>
      <w:kern w:val="28"/>
      <w:sz w:val="52"/>
      <w:szCs w:val="52"/>
      <w:lang w:eastAsia="en-US"/>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1525B4"/>
    <w:pPr>
      <w:tabs>
        <w:tab w:val="right" w:leader="underscore" w:pos="8505"/>
      </w:tabs>
      <w:spacing w:after="100"/>
      <w:ind w:left="1021"/>
    </w:pPr>
    <w:rPr>
      <w:sz w:val="21"/>
    </w:rPr>
  </w:style>
  <w:style w:type="paragraph" w:styleId="TOCHeading">
    <w:name w:val="TOC Heading"/>
    <w:basedOn w:val="Heading1"/>
    <w:next w:val="Normal"/>
    <w:uiPriority w:val="39"/>
    <w:semiHidden/>
    <w:unhideWhenUsed/>
    <w:qFormat/>
    <w:rsid w:val="00F3148D"/>
    <w:pPr>
      <w:framePr w:wrap="around"/>
      <w:spacing w:after="0" w:line="276" w:lineRule="auto"/>
      <w:outlineLvl w:val="9"/>
    </w:pPr>
    <w:rPr>
      <w:color w:val="002035"/>
      <w:sz w:val="28"/>
      <w:lang w:val="en-US"/>
    </w:rPr>
  </w:style>
  <w:style w:type="paragraph" w:customStyle="1" w:styleId="Subject">
    <w:name w:val="Subject"/>
    <w:basedOn w:val="Normal"/>
    <w:qFormat/>
    <w:rsid w:val="00D153B1"/>
    <w:rPr>
      <w:b/>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nhideWhenUsed/>
    <w:rsid w:val="001525B4"/>
    <w:pPr>
      <w:spacing w:before="0" w:after="0" w:line="240" w:lineRule="auto"/>
    </w:pPr>
    <w:rPr>
      <w:sz w:val="20"/>
      <w:szCs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nhideWhenUsed/>
    <w:rsid w:val="001525B4"/>
    <w:rPr>
      <w:vertAlign w:val="superscript"/>
    </w:rPr>
  </w:style>
  <w:style w:type="paragraph" w:customStyle="1" w:styleId="Footnote">
    <w:name w:val="Footnote"/>
    <w:basedOn w:val="FootnoteText"/>
    <w:qFormat/>
    <w:rsid w:val="001525B4"/>
    <w:pPr>
      <w:spacing w:after="240"/>
    </w:pPr>
  </w:style>
  <w:style w:type="paragraph" w:styleId="ListParagraph">
    <w:name w:val="List Paragraph"/>
    <w:basedOn w:val="Normal"/>
    <w:uiPriority w:val="34"/>
    <w:qFormat/>
    <w:rsid w:val="0018660B"/>
    <w:pPr>
      <w:ind w:left="720"/>
      <w:contextualSpacing/>
    </w:pPr>
  </w:style>
  <w:style w:type="paragraph" w:customStyle="1" w:styleId="FigureDescription">
    <w:name w:val="Figure Description"/>
    <w:basedOn w:val="Normal"/>
    <w:next w:val="Normal"/>
    <w:qFormat/>
    <w:rsid w:val="006A38E4"/>
    <w:pPr>
      <w:spacing w:before="120" w:after="0"/>
    </w:pPr>
    <w:rPr>
      <w:sz w:val="19"/>
    </w:rPr>
  </w:style>
  <w:style w:type="paragraph" w:customStyle="1" w:styleId="TableDescription">
    <w:name w:val="Table Description"/>
    <w:basedOn w:val="FigureDescription"/>
    <w:qFormat/>
    <w:rsid w:val="00016BEB"/>
    <w:pPr>
      <w:keepNext/>
      <w:spacing w:after="240"/>
    </w:pPr>
    <w:rPr>
      <w:szCs w:val="19"/>
    </w:rPr>
  </w:style>
  <w:style w:type="character" w:customStyle="1" w:styleId="Heading8Char">
    <w:name w:val="Heading 8 Char"/>
    <w:basedOn w:val="DefaultParagraphFont"/>
    <w:link w:val="Heading8"/>
    <w:uiPriority w:val="9"/>
    <w:semiHidden/>
    <w:rsid w:val="004E0515"/>
    <w:rPr>
      <w:rFonts w:asciiTheme="majorHAnsi" w:eastAsiaTheme="majorEastAsia" w:hAnsiTheme="majorHAnsi" w:cstheme="majorBidi"/>
      <w:color w:val="0070B5" w:themeColor="text1" w:themeTint="BF"/>
      <w:lang w:eastAsia="en-US"/>
    </w:rPr>
  </w:style>
  <w:style w:type="paragraph" w:styleId="BodyText2">
    <w:name w:val="Body Text 2"/>
    <w:basedOn w:val="Normal"/>
    <w:link w:val="BodyText2Char"/>
    <w:uiPriority w:val="99"/>
    <w:rsid w:val="004E0515"/>
    <w:pPr>
      <w:spacing w:before="0" w:after="0"/>
      <w:ind w:left="349"/>
    </w:pPr>
    <w:rPr>
      <w:rFonts w:ascii="Arial" w:eastAsia="Times New Roman" w:hAnsi="Arial" w:cs="Arial"/>
      <w:color w:val="000000"/>
      <w:lang w:val="en-US"/>
    </w:rPr>
  </w:style>
  <w:style w:type="character" w:customStyle="1" w:styleId="BodyText2Char">
    <w:name w:val="Body Text 2 Char"/>
    <w:basedOn w:val="DefaultParagraphFont"/>
    <w:link w:val="BodyText2"/>
    <w:uiPriority w:val="99"/>
    <w:rsid w:val="004E0515"/>
    <w:rPr>
      <w:rFonts w:ascii="Arial" w:eastAsia="Times New Roman" w:hAnsi="Arial" w:cs="Arial"/>
      <w:color w:val="000000"/>
      <w:sz w:val="22"/>
      <w:szCs w:val="22"/>
      <w:lang w:val="en-US" w:eastAsia="en-US"/>
    </w:rPr>
  </w:style>
  <w:style w:type="paragraph" w:styleId="NoSpacing">
    <w:name w:val="No Spacing"/>
    <w:link w:val="NoSpacingChar"/>
    <w:uiPriority w:val="1"/>
    <w:qFormat/>
    <w:rsid w:val="00FD507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D507B"/>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4258">
      <w:bodyDiv w:val="1"/>
      <w:marLeft w:val="0"/>
      <w:marRight w:val="0"/>
      <w:marTop w:val="0"/>
      <w:marBottom w:val="0"/>
      <w:divBdr>
        <w:top w:val="none" w:sz="0" w:space="0" w:color="auto"/>
        <w:left w:val="none" w:sz="0" w:space="0" w:color="auto"/>
        <w:bottom w:val="none" w:sz="0" w:space="0" w:color="auto"/>
        <w:right w:val="none" w:sz="0" w:space="0" w:color="auto"/>
      </w:divBdr>
      <w:divsChild>
        <w:div w:id="1030110770">
          <w:marLeft w:val="0"/>
          <w:marRight w:val="0"/>
          <w:marTop w:val="0"/>
          <w:marBottom w:val="0"/>
          <w:divBdr>
            <w:top w:val="none" w:sz="0" w:space="0" w:color="auto"/>
            <w:left w:val="none" w:sz="0" w:space="0" w:color="auto"/>
            <w:bottom w:val="none" w:sz="0" w:space="0" w:color="auto"/>
            <w:right w:val="none" w:sz="0" w:space="0" w:color="auto"/>
          </w:divBdr>
          <w:divsChild>
            <w:div w:id="14484246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2302468">
      <w:bodyDiv w:val="1"/>
      <w:marLeft w:val="0"/>
      <w:marRight w:val="0"/>
      <w:marTop w:val="0"/>
      <w:marBottom w:val="0"/>
      <w:divBdr>
        <w:top w:val="none" w:sz="0" w:space="0" w:color="auto"/>
        <w:left w:val="none" w:sz="0" w:space="0" w:color="auto"/>
        <w:bottom w:val="none" w:sz="0" w:space="0" w:color="auto"/>
        <w:right w:val="none" w:sz="0" w:space="0" w:color="auto"/>
      </w:divBdr>
      <w:divsChild>
        <w:div w:id="929703686">
          <w:marLeft w:val="0"/>
          <w:marRight w:val="0"/>
          <w:marTop w:val="0"/>
          <w:marBottom w:val="0"/>
          <w:divBdr>
            <w:top w:val="none" w:sz="0" w:space="0" w:color="auto"/>
            <w:left w:val="none" w:sz="0" w:space="0" w:color="auto"/>
            <w:bottom w:val="none" w:sz="0" w:space="0" w:color="auto"/>
            <w:right w:val="none" w:sz="0" w:space="0" w:color="auto"/>
          </w:divBdr>
          <w:divsChild>
            <w:div w:id="16209115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09621383">
      <w:bodyDiv w:val="1"/>
      <w:marLeft w:val="0"/>
      <w:marRight w:val="0"/>
      <w:marTop w:val="0"/>
      <w:marBottom w:val="0"/>
      <w:divBdr>
        <w:top w:val="none" w:sz="0" w:space="0" w:color="auto"/>
        <w:left w:val="none" w:sz="0" w:space="0" w:color="auto"/>
        <w:bottom w:val="none" w:sz="0" w:space="0" w:color="auto"/>
        <w:right w:val="none" w:sz="0" w:space="0" w:color="auto"/>
      </w:divBdr>
      <w:divsChild>
        <w:div w:id="1789009720">
          <w:marLeft w:val="0"/>
          <w:marRight w:val="0"/>
          <w:marTop w:val="0"/>
          <w:marBottom w:val="0"/>
          <w:divBdr>
            <w:top w:val="none" w:sz="0" w:space="0" w:color="auto"/>
            <w:left w:val="none" w:sz="0" w:space="0" w:color="auto"/>
            <w:bottom w:val="none" w:sz="0" w:space="0" w:color="auto"/>
            <w:right w:val="none" w:sz="0" w:space="0" w:color="auto"/>
          </w:divBdr>
          <w:divsChild>
            <w:div w:id="16476646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26081380">
      <w:bodyDiv w:val="1"/>
      <w:marLeft w:val="0"/>
      <w:marRight w:val="0"/>
      <w:marTop w:val="0"/>
      <w:marBottom w:val="0"/>
      <w:divBdr>
        <w:top w:val="none" w:sz="0" w:space="0" w:color="auto"/>
        <w:left w:val="none" w:sz="0" w:space="0" w:color="auto"/>
        <w:bottom w:val="none" w:sz="0" w:space="0" w:color="auto"/>
        <w:right w:val="none" w:sz="0" w:space="0" w:color="auto"/>
      </w:divBdr>
    </w:div>
    <w:div w:id="1599949410">
      <w:bodyDiv w:val="1"/>
      <w:marLeft w:val="0"/>
      <w:marRight w:val="0"/>
      <w:marTop w:val="0"/>
      <w:marBottom w:val="0"/>
      <w:divBdr>
        <w:top w:val="none" w:sz="0" w:space="0" w:color="auto"/>
        <w:left w:val="none" w:sz="0" w:space="0" w:color="auto"/>
        <w:bottom w:val="none" w:sz="0" w:space="0" w:color="auto"/>
        <w:right w:val="none" w:sz="0" w:space="0" w:color="auto"/>
      </w:divBdr>
      <w:divsChild>
        <w:div w:id="1273900675">
          <w:marLeft w:val="0"/>
          <w:marRight w:val="0"/>
          <w:marTop w:val="0"/>
          <w:marBottom w:val="0"/>
          <w:divBdr>
            <w:top w:val="none" w:sz="0" w:space="0" w:color="auto"/>
            <w:left w:val="none" w:sz="0" w:space="0" w:color="auto"/>
            <w:bottom w:val="none" w:sz="0" w:space="0" w:color="auto"/>
            <w:right w:val="none" w:sz="0" w:space="0" w:color="auto"/>
          </w:divBdr>
          <w:divsChild>
            <w:div w:id="17156948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ga.gov.au/industry/cm-notices-guidance-materials-120604.htm" TargetMode="External"/><Relationship Id="rId26" Type="http://schemas.openxmlformats.org/officeDocument/2006/relationships/hyperlink" Target="http://www.tga.gov.au/advert/tgac.htm" TargetMode="External"/><Relationship Id="rId3" Type="http://schemas.openxmlformats.org/officeDocument/2006/relationships/styles" Target="styles.xml"/><Relationship Id="rId21" Type="http://schemas.openxmlformats.org/officeDocument/2006/relationships/hyperlink" Target="http://www.tga.gov.au/industry/cm-notices-risk-profiles-120604.ht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nao.gov.au/Publications/Audit-Reports/2011-2012/Therapeutic-Goods-Regulation-Complementary-Medicines" TargetMode="External"/><Relationship Id="rId25" Type="http://schemas.openxmlformats.org/officeDocument/2006/relationships/hyperlink" Target="http://www.tga.gov.au/meds/rasml.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ga.gov.au/newsroom/media-2011-tga-reforms-111208.htm" TargetMode="External"/><Relationship Id="rId20" Type="http://schemas.openxmlformats.org/officeDocument/2006/relationships/hyperlink" Target="http://www.tga.gov.au/industry/cm-notice-publish-reviews-120604.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ga.gov.au/docs/html/tgo/tgo69.ht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tga.copyright@tga.gov.au" TargetMode="External"/><Relationship Id="rId23" Type="http://schemas.openxmlformats.org/officeDocument/2006/relationships/hyperlink" Target="http://www.tga.gov.au/newsroom/media-2011-tga-reforms-111208.htm" TargetMode="External"/><Relationship Id="rId28" Type="http://schemas.openxmlformats.org/officeDocument/2006/relationships/hyperlink" Target="http://www.tga.gov.au" TargetMode="External"/><Relationship Id="rId10" Type="http://schemas.openxmlformats.org/officeDocument/2006/relationships/header" Target="header1.xml"/><Relationship Id="rId19" Type="http://schemas.openxmlformats.org/officeDocument/2006/relationships/hyperlink" Target="http://www.tga.gov.au/industry/cm-notices-standard-indications-120604.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ga.gov.au" TargetMode="External"/><Relationship Id="rId22" Type="http://schemas.openxmlformats.org/officeDocument/2006/relationships/hyperlink" Target="http://www.tga.gov.au/industry/cm-notices-advertising-breaches-120604.htm" TargetMode="External"/><Relationship Id="rId27" Type="http://schemas.openxmlformats.org/officeDocument/2006/relationships/footer" Target="footer3.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epartmental%20Templates\TGA\TGA%20External%20Publ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69"/>
    <w:rsid w:val="0083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D7D5F0936448799C55135866F0BB0">
    <w:name w:val="17FD7D5F0936448799C55135866F0BB0"/>
    <w:rsid w:val="00837169"/>
  </w:style>
  <w:style w:type="paragraph" w:customStyle="1" w:styleId="87D2539590774F48A9ED68B165A22293">
    <w:name w:val="87D2539590774F48A9ED68B165A22293"/>
    <w:rsid w:val="00837169"/>
  </w:style>
  <w:style w:type="paragraph" w:customStyle="1" w:styleId="6A1081247A0D4D1DBA9F8C5CE38BDD65">
    <w:name w:val="6A1081247A0D4D1DBA9F8C5CE38BDD65"/>
    <w:rsid w:val="00837169"/>
  </w:style>
  <w:style w:type="paragraph" w:customStyle="1" w:styleId="116AE1F19EFA426B92222B61229E50D8">
    <w:name w:val="116AE1F19EFA426B92222B61229E50D8"/>
    <w:rsid w:val="00837169"/>
  </w:style>
  <w:style w:type="paragraph" w:customStyle="1" w:styleId="A868AAA7E6B341DE94648437A5EF9045">
    <w:name w:val="A868AAA7E6B341DE94648437A5EF9045"/>
    <w:rsid w:val="00837169"/>
  </w:style>
  <w:style w:type="paragraph" w:customStyle="1" w:styleId="DC797477D6B74B35A3715DD681D8FDFE">
    <w:name w:val="DC797477D6B74B35A3715DD681D8FDFE"/>
    <w:rsid w:val="00837169"/>
  </w:style>
  <w:style w:type="paragraph" w:customStyle="1" w:styleId="FB0734C8A7EF49B0B70967CDB3D049E3">
    <w:name w:val="FB0734C8A7EF49B0B70967CDB3D049E3"/>
    <w:rsid w:val="00837169"/>
  </w:style>
  <w:style w:type="paragraph" w:customStyle="1" w:styleId="26239EF7D67A400FA16BF56CE302288B">
    <w:name w:val="26239EF7D67A400FA16BF56CE302288B"/>
    <w:rsid w:val="00837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D7D5F0936448799C55135866F0BB0">
    <w:name w:val="17FD7D5F0936448799C55135866F0BB0"/>
    <w:rsid w:val="00837169"/>
  </w:style>
  <w:style w:type="paragraph" w:customStyle="1" w:styleId="87D2539590774F48A9ED68B165A22293">
    <w:name w:val="87D2539590774F48A9ED68B165A22293"/>
    <w:rsid w:val="00837169"/>
  </w:style>
  <w:style w:type="paragraph" w:customStyle="1" w:styleId="6A1081247A0D4D1DBA9F8C5CE38BDD65">
    <w:name w:val="6A1081247A0D4D1DBA9F8C5CE38BDD65"/>
    <w:rsid w:val="00837169"/>
  </w:style>
  <w:style w:type="paragraph" w:customStyle="1" w:styleId="116AE1F19EFA426B92222B61229E50D8">
    <w:name w:val="116AE1F19EFA426B92222B61229E50D8"/>
    <w:rsid w:val="00837169"/>
  </w:style>
  <w:style w:type="paragraph" w:customStyle="1" w:styleId="A868AAA7E6B341DE94648437A5EF9045">
    <w:name w:val="A868AAA7E6B341DE94648437A5EF9045"/>
    <w:rsid w:val="00837169"/>
  </w:style>
  <w:style w:type="paragraph" w:customStyle="1" w:styleId="DC797477D6B74B35A3715DD681D8FDFE">
    <w:name w:val="DC797477D6B74B35A3715DD681D8FDFE"/>
    <w:rsid w:val="00837169"/>
  </w:style>
  <w:style w:type="paragraph" w:customStyle="1" w:styleId="FB0734C8A7EF49B0B70967CDB3D049E3">
    <w:name w:val="FB0734C8A7EF49B0B70967CDB3D049E3"/>
    <w:rsid w:val="00837169"/>
  </w:style>
  <w:style w:type="paragraph" w:customStyle="1" w:styleId="26239EF7D67A400FA16BF56CE302288B">
    <w:name w:val="26239EF7D67A400FA16BF56CE302288B"/>
    <w:rsid w:val="00837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GA">
  <a:themeElements>
    <a:clrScheme name="TGA colours">
      <a:dk1>
        <a:srgbClr val="002C47"/>
      </a:dk1>
      <a:lt1>
        <a:srgbClr val="B3C960"/>
      </a:lt1>
      <a:dk2>
        <a:srgbClr val="4D2779"/>
      </a:dk2>
      <a:lt2>
        <a:srgbClr val="006DA7"/>
      </a:lt2>
      <a:accent1>
        <a:srgbClr val="25451C"/>
      </a:accent1>
      <a:accent2>
        <a:srgbClr val="50555C"/>
      </a:accent2>
      <a:accent3>
        <a:srgbClr val="002C47"/>
      </a:accent3>
      <a:accent4>
        <a:srgbClr val="B3C960"/>
      </a:accent4>
      <a:accent5>
        <a:srgbClr val="006DA7"/>
      </a:accent5>
      <a:accent6>
        <a:srgbClr val="006664"/>
      </a:accent6>
      <a:hlink>
        <a:srgbClr val="4D2779"/>
      </a:hlink>
      <a:folHlink>
        <a:srgbClr val="25451C"/>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729A-3EDB-4AEE-B769-4202E0F3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TGA External Publication Template</Template>
  <TotalTime>13</TotalTime>
  <Pages>20</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wilkdi</dc:creator>
  <cp:lastModifiedBy>Emma Burchell</cp:lastModifiedBy>
  <cp:revision>3</cp:revision>
  <cp:lastPrinted>2012-08-13T04:38:00Z</cp:lastPrinted>
  <dcterms:created xsi:type="dcterms:W3CDTF">2012-08-16T06:09:00Z</dcterms:created>
  <dcterms:modified xsi:type="dcterms:W3CDTF">2012-08-20T00:08:00Z</dcterms:modified>
</cp:coreProperties>
</file>