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0D" w:rsidRPr="007D6C09" w:rsidRDefault="001A0067" w:rsidP="005A304E">
      <w:pPr>
        <w:spacing w:before="100" w:beforeAutospacing="1" w:after="100" w:afterAutospacing="1" w:line="240" w:lineRule="auto"/>
        <w:rPr>
          <w:rFonts w:eastAsia="Times New Roman" w:cs="Times New Roman"/>
          <w:sz w:val="16"/>
          <w:szCs w:val="16"/>
          <w:lang w:eastAsia="en-AU"/>
        </w:rPr>
      </w:pPr>
      <w:bookmarkStart w:id="0" w:name="_ftn1"/>
      <w:bookmarkStart w:id="1" w:name="_GoBack"/>
      <w:bookmarkEnd w:id="1"/>
      <w:r>
        <w:rPr>
          <w:rFonts w:ascii="Times New Roman" w:eastAsia="Times New Roman" w:hAnsi="Times New Roman" w:cs="Times New Roman"/>
          <w:sz w:val="24"/>
          <w:szCs w:val="24"/>
          <w:lang w:eastAsia="en-AU"/>
        </w:rPr>
        <w:br/>
      </w:r>
      <w:hyperlink r:id="rId5" w:anchor="_ftnref1" w:history="1">
        <w:r w:rsidR="00D7100D" w:rsidRPr="007D6C09">
          <w:rPr>
            <w:rFonts w:eastAsia="Times New Roman" w:cs="Times New Roman"/>
            <w:color w:val="0000FF"/>
            <w:sz w:val="16"/>
            <w:szCs w:val="16"/>
            <w:u w:val="single"/>
            <w:lang w:eastAsia="en-AU"/>
          </w:rPr>
          <w:t>[1]</w:t>
        </w:r>
      </w:hyperlink>
      <w:bookmarkEnd w:id="0"/>
      <w:r w:rsidR="00D7100D" w:rsidRPr="007D6C09">
        <w:rPr>
          <w:rFonts w:eastAsia="Times New Roman" w:cs="Times New Roman"/>
          <w:sz w:val="16"/>
          <w:szCs w:val="16"/>
          <w:lang w:eastAsia="en-AU"/>
        </w:rPr>
        <w:t xml:space="preserve"> In 2005 </w:t>
      </w:r>
      <w:r w:rsidR="00D7100D" w:rsidRPr="007D6C09">
        <w:rPr>
          <w:rFonts w:eastAsia="Times New Roman" w:cs="Times New Roman"/>
          <w:i/>
          <w:iCs/>
          <w:sz w:val="16"/>
          <w:szCs w:val="16"/>
          <w:lang w:eastAsia="en-AU"/>
        </w:rPr>
        <w:t>the Lin Report</w:t>
      </w:r>
      <w:r w:rsidR="00D7100D" w:rsidRPr="007D6C09">
        <w:rPr>
          <w:rFonts w:eastAsia="Times New Roman" w:cs="Times New Roman"/>
          <w:sz w:val="16"/>
          <w:szCs w:val="16"/>
          <w:lang w:eastAsia="en-AU"/>
        </w:rPr>
        <w:t xml:space="preserve">, estimated 2971 Naturopaths and Herbalists were in practice. After adjusting the number to account for growth in the field, there could be up to 12,000. The </w:t>
      </w:r>
      <w:r w:rsidR="00D7100D" w:rsidRPr="007D6C09">
        <w:rPr>
          <w:rFonts w:eastAsia="Times New Roman" w:cs="Times New Roman"/>
          <w:i/>
          <w:iCs/>
          <w:sz w:val="16"/>
          <w:szCs w:val="16"/>
          <w:lang w:eastAsia="en-AU"/>
        </w:rPr>
        <w:t>ARONAH submission to consultation options for the regulation of unregistered health professionals (2011)</w:t>
      </w:r>
      <w:r w:rsidR="00D7100D" w:rsidRPr="007D6C09">
        <w:rPr>
          <w:rFonts w:eastAsia="Times New Roman" w:cs="Times New Roman"/>
          <w:sz w:val="16"/>
          <w:szCs w:val="16"/>
          <w:lang w:eastAsia="en-AU"/>
        </w:rPr>
        <w:t>, states that an “accurate estimation is made difficult by the unregulated and fragmented nature of the professions, and by co-option of the terms naturopath and herbalist by other unregistered and registered professions”. The Australian Bureau of Statistics estimated that there were 2982 naturopaths in Australia 2006. The ARONAH submission identifies this figure did not include Western herbalists, or even some naturopaths that were included in the 16 354 ‘complementary therapists’ or 2632 ‘natural remedy consultants’.</w:t>
      </w:r>
      <w:r w:rsidR="00C63EEF">
        <w:rPr>
          <w:rFonts w:eastAsia="Times New Roman" w:cs="Times New Roman"/>
          <w:sz w:val="16"/>
          <w:szCs w:val="16"/>
          <w:lang w:eastAsia="en-AU"/>
        </w:rPr>
        <w:pict>
          <v:rect id="_x0000_i1025" style="width:148.95pt;height:.75pt" o:hrpct="330" o:hrstd="t" o:hr="t" fillcolor="gray" stroked="f"/>
        </w:pict>
      </w:r>
    </w:p>
    <w:p w:rsidR="00D7100D" w:rsidRPr="007D6C09" w:rsidRDefault="00D7100D" w:rsidP="005A304E">
      <w:pPr>
        <w:spacing w:before="100" w:beforeAutospacing="1" w:after="100" w:afterAutospacing="1" w:line="240" w:lineRule="auto"/>
        <w:rPr>
          <w:rFonts w:eastAsia="Times New Roman" w:cs="Times New Roman"/>
          <w:sz w:val="16"/>
          <w:szCs w:val="16"/>
          <w:lang w:eastAsia="en-AU"/>
        </w:rPr>
      </w:pPr>
      <w:bookmarkStart w:id="2" w:name="_ftn2"/>
      <w:r w:rsidRPr="007D6C09">
        <w:rPr>
          <w:rFonts w:eastAsia="Times New Roman" w:cs="Times New Roman"/>
          <w:color w:val="0000FF"/>
          <w:sz w:val="16"/>
          <w:szCs w:val="16"/>
          <w:u w:val="single"/>
          <w:lang w:eastAsia="en-AU"/>
        </w:rPr>
        <w:t>[2]</w:t>
      </w:r>
      <w:bookmarkEnd w:id="2"/>
      <w:r w:rsidRPr="007D6C09">
        <w:rPr>
          <w:rFonts w:eastAsia="Times New Roman" w:cs="Times New Roman"/>
          <w:sz w:val="16"/>
          <w:szCs w:val="16"/>
          <w:lang w:eastAsia="en-AU"/>
        </w:rPr>
        <w:t xml:space="preserve"> C </w:t>
      </w:r>
      <w:proofErr w:type="spellStart"/>
      <w:r w:rsidRPr="007D6C09">
        <w:rPr>
          <w:rFonts w:eastAsia="Times New Roman" w:cs="Times New Roman"/>
          <w:sz w:val="16"/>
          <w:szCs w:val="16"/>
          <w:lang w:eastAsia="en-AU"/>
        </w:rPr>
        <w:t>Xue</w:t>
      </w:r>
      <w:proofErr w:type="spellEnd"/>
      <w:r w:rsidRPr="007D6C09">
        <w:rPr>
          <w:rFonts w:eastAsia="Times New Roman" w:cs="Times New Roman"/>
          <w:sz w:val="16"/>
          <w:szCs w:val="16"/>
          <w:lang w:eastAsia="en-AU"/>
        </w:rPr>
        <w:t xml:space="preserve"> et al, </w:t>
      </w:r>
      <w:r w:rsidRPr="007D6C09">
        <w:rPr>
          <w:rFonts w:eastAsia="Times New Roman" w:cs="Times New Roman"/>
          <w:i/>
          <w:iCs/>
          <w:sz w:val="16"/>
          <w:szCs w:val="16"/>
          <w:lang w:eastAsia="en-AU"/>
        </w:rPr>
        <w:t>Complementary and alternative medicine use in Australia: a national population-based survey,</w:t>
      </w:r>
      <w:r w:rsidRPr="007D6C09">
        <w:rPr>
          <w:rFonts w:eastAsia="Times New Roman" w:cs="Times New Roman"/>
          <w:sz w:val="16"/>
          <w:szCs w:val="16"/>
          <w:lang w:eastAsia="en-AU"/>
        </w:rPr>
        <w:t xml:space="preserve"> J </w:t>
      </w:r>
      <w:proofErr w:type="spellStart"/>
      <w:r w:rsidRPr="007D6C09">
        <w:rPr>
          <w:rFonts w:eastAsia="Times New Roman" w:cs="Times New Roman"/>
          <w:sz w:val="16"/>
          <w:szCs w:val="16"/>
          <w:lang w:eastAsia="en-AU"/>
        </w:rPr>
        <w:t>Altern</w:t>
      </w:r>
      <w:proofErr w:type="spellEnd"/>
      <w:r w:rsidRPr="007D6C09">
        <w:rPr>
          <w:rFonts w:eastAsia="Times New Roman" w:cs="Times New Roman"/>
          <w:sz w:val="16"/>
          <w:szCs w:val="16"/>
          <w:lang w:eastAsia="en-AU"/>
        </w:rPr>
        <w:t xml:space="preserve"> Complement Med. 2007 Jul-Aug; 13(6):648.</w:t>
      </w:r>
      <w:r w:rsidR="00C63EEF">
        <w:rPr>
          <w:rFonts w:eastAsia="Times New Roman" w:cs="Times New Roman"/>
          <w:sz w:val="16"/>
          <w:szCs w:val="16"/>
          <w:lang w:eastAsia="en-AU"/>
        </w:rPr>
        <w:pict>
          <v:rect id="_x0000_i1026" style="width:148.95pt;height:.75pt" o:hrpct="330" o:hrstd="t" o:hr="t" fillcolor="gray" stroked="f"/>
        </w:pict>
      </w:r>
    </w:p>
    <w:bookmarkStart w:id="3" w:name="_edn1"/>
    <w:p w:rsidR="00D7100D" w:rsidRPr="007D6C09" w:rsidRDefault="00D7100D" w:rsidP="005A304E">
      <w:pPr>
        <w:spacing w:before="100" w:beforeAutospacing="1" w:after="100" w:afterAutospacing="1" w:line="240" w:lineRule="auto"/>
        <w:rPr>
          <w:rFonts w:eastAsia="Times New Roman" w:cs="Times New Roman"/>
          <w:sz w:val="16"/>
          <w:szCs w:val="16"/>
          <w:lang w:eastAsia="en-AU"/>
        </w:rPr>
      </w:pPr>
      <w:r w:rsidRPr="007D6C09">
        <w:rPr>
          <w:rFonts w:eastAsia="Times New Roman" w:cs="Times New Roman"/>
          <w:sz w:val="16"/>
          <w:szCs w:val="16"/>
          <w:lang w:eastAsia="en-AU"/>
        </w:rPr>
        <w:fldChar w:fldCharType="begin"/>
      </w:r>
      <w:r w:rsidRPr="007D6C09">
        <w:rPr>
          <w:rFonts w:eastAsia="Times New Roman" w:cs="Times New Roman"/>
          <w:sz w:val="16"/>
          <w:szCs w:val="16"/>
          <w:lang w:eastAsia="en-AU"/>
        </w:rPr>
        <w:instrText xml:space="preserve"> HYPERLINK "http://www.chc.org.au/Registration-of-Practitioners?mode=0&amp;css=0&amp;ver=4.5.2aurora_horizontal_orangef22783eb634904495340000000634970104060000000" \l "_ednref1" \o "" </w:instrText>
      </w:r>
      <w:r w:rsidRPr="007D6C09">
        <w:rPr>
          <w:rFonts w:eastAsia="Times New Roman" w:cs="Times New Roman"/>
          <w:sz w:val="16"/>
          <w:szCs w:val="16"/>
          <w:lang w:eastAsia="en-AU"/>
        </w:rPr>
        <w:fldChar w:fldCharType="separate"/>
      </w:r>
      <w:r w:rsidRPr="007D6C09">
        <w:rPr>
          <w:rFonts w:eastAsia="Times New Roman" w:cs="Times New Roman"/>
          <w:color w:val="0000FF"/>
          <w:sz w:val="16"/>
          <w:szCs w:val="16"/>
          <w:u w:val="single"/>
          <w:lang w:eastAsia="en-AU"/>
        </w:rPr>
        <w:t>[</w:t>
      </w:r>
      <w:proofErr w:type="spellStart"/>
      <w:r w:rsidRPr="007D6C09">
        <w:rPr>
          <w:rFonts w:eastAsia="Times New Roman" w:cs="Times New Roman"/>
          <w:color w:val="0000FF"/>
          <w:sz w:val="16"/>
          <w:szCs w:val="16"/>
          <w:u w:val="single"/>
          <w:lang w:eastAsia="en-AU"/>
        </w:rPr>
        <w:t>i</w:t>
      </w:r>
      <w:proofErr w:type="spellEnd"/>
      <w:r w:rsidRPr="007D6C09">
        <w:rPr>
          <w:rFonts w:eastAsia="Times New Roman" w:cs="Times New Roman"/>
          <w:color w:val="0000FF"/>
          <w:sz w:val="16"/>
          <w:szCs w:val="16"/>
          <w:u w:val="single"/>
          <w:lang w:eastAsia="en-AU"/>
        </w:rPr>
        <w:t>]</w:t>
      </w:r>
      <w:r w:rsidRPr="007D6C09">
        <w:rPr>
          <w:rFonts w:eastAsia="Times New Roman" w:cs="Times New Roman"/>
          <w:sz w:val="16"/>
          <w:szCs w:val="16"/>
          <w:lang w:eastAsia="en-AU"/>
        </w:rPr>
        <w:fldChar w:fldCharType="end"/>
      </w:r>
      <w:r w:rsidRPr="007D6C09">
        <w:rPr>
          <w:rFonts w:eastAsia="Times New Roman" w:cs="Times New Roman"/>
          <w:sz w:val="16"/>
          <w:szCs w:val="16"/>
          <w:lang w:eastAsia="en-AU"/>
        </w:rPr>
        <w:t xml:space="preserve"> Wardle J 2009, </w:t>
      </w:r>
      <w:r w:rsidRPr="007D6C09">
        <w:rPr>
          <w:rFonts w:eastAsia="Times New Roman" w:cs="Times New Roman"/>
          <w:i/>
          <w:iCs/>
          <w:sz w:val="16"/>
          <w:szCs w:val="16"/>
          <w:lang w:eastAsia="en-AU"/>
        </w:rPr>
        <w:t>Submission for the Senate enquiry Inquiry into the National Registration and Accreditation Scheme for Doctors and Other Health Workers,</w:t>
      </w:r>
      <w:r w:rsidRPr="007D6C09">
        <w:rPr>
          <w:rFonts w:eastAsia="Times New Roman" w:cs="Times New Roman"/>
          <w:sz w:val="16"/>
          <w:szCs w:val="16"/>
          <w:lang w:eastAsia="en-AU"/>
        </w:rPr>
        <w:t xml:space="preserve"> p1, Copy provided by the Western Australian Parliamentary Library in accordance with section 48A of the Copyright Act1968.</w:t>
      </w:r>
      <w:r w:rsidR="00C63EEF">
        <w:rPr>
          <w:rFonts w:eastAsia="Times New Roman" w:cs="Times New Roman"/>
          <w:sz w:val="16"/>
          <w:szCs w:val="16"/>
          <w:lang w:eastAsia="en-AU"/>
        </w:rPr>
        <w:pict>
          <v:rect id="_x0000_i1027" style="width:148.95pt;height:.75pt" o:hrpct="330" o:hrstd="t" o:hr="t" fillcolor="gray" stroked="f"/>
        </w:pict>
      </w:r>
      <w:r w:rsidR="005A304E" w:rsidRPr="007D6C09">
        <w:rPr>
          <w:rFonts w:eastAsia="Times New Roman" w:cs="Times New Roman"/>
          <w:sz w:val="16"/>
          <w:szCs w:val="16"/>
          <w:lang w:eastAsia="en-AU"/>
        </w:rPr>
        <w:br/>
      </w:r>
      <w:r w:rsidR="005A304E" w:rsidRPr="007D6C09">
        <w:rPr>
          <w:rFonts w:eastAsia="Times New Roman" w:cs="Times New Roman"/>
          <w:sz w:val="16"/>
          <w:szCs w:val="16"/>
          <w:lang w:eastAsia="en-AU"/>
        </w:rPr>
        <w:br/>
      </w:r>
      <w:hyperlink r:id="rId6" w:anchor="_ednref1" w:history="1">
        <w:r w:rsidRPr="007D6C09">
          <w:rPr>
            <w:rFonts w:eastAsia="Times New Roman" w:cs="Times New Roman"/>
            <w:color w:val="0000FF"/>
            <w:sz w:val="16"/>
            <w:szCs w:val="16"/>
            <w:u w:val="single"/>
            <w:lang w:eastAsia="en-AU"/>
          </w:rPr>
          <w:t>[ii]</w:t>
        </w:r>
      </w:hyperlink>
      <w:r w:rsidRPr="007D6C09">
        <w:rPr>
          <w:rFonts w:eastAsia="Times New Roman" w:cs="Times New Roman"/>
          <w:sz w:val="16"/>
          <w:szCs w:val="16"/>
          <w:lang w:eastAsia="en-AU"/>
        </w:rPr>
        <w:t xml:space="preserve"> </w:t>
      </w:r>
      <w:proofErr w:type="spellStart"/>
      <w:r w:rsidRPr="007D6C09">
        <w:rPr>
          <w:rFonts w:eastAsia="Times New Roman" w:cs="Times New Roman"/>
          <w:sz w:val="16"/>
          <w:szCs w:val="16"/>
          <w:lang w:eastAsia="en-AU"/>
        </w:rPr>
        <w:t>Xue</w:t>
      </w:r>
      <w:proofErr w:type="spellEnd"/>
      <w:r w:rsidRPr="007D6C09">
        <w:rPr>
          <w:rFonts w:eastAsia="Times New Roman" w:cs="Times New Roman"/>
          <w:sz w:val="16"/>
          <w:szCs w:val="16"/>
          <w:lang w:eastAsia="en-AU"/>
        </w:rPr>
        <w:t xml:space="preserve"> et al 2007, Complementary and Alternative Medicine Use in Australia: A Population-based Survey, Journal of Alternative and Complementary Medicine 2007, 13: 643-650.</w:t>
      </w:r>
      <w:r w:rsidRPr="007D6C09">
        <w:rPr>
          <w:rFonts w:eastAsia="Times New Roman" w:cs="Times New Roman"/>
          <w:sz w:val="16"/>
          <w:szCs w:val="16"/>
          <w:lang w:eastAsia="en-AU"/>
        </w:rPr>
        <w:br w:type="textWrapping" w:clear="all"/>
      </w:r>
      <w:r w:rsidR="00C63EEF">
        <w:rPr>
          <w:rFonts w:eastAsia="Times New Roman" w:cs="Times New Roman"/>
          <w:sz w:val="16"/>
          <w:szCs w:val="16"/>
          <w:lang w:eastAsia="en-AU"/>
        </w:rPr>
        <w:pict>
          <v:rect id="_x0000_i1028" style="width:148.95pt;height:.75pt" o:hrpct="330" o:hrstd="t" o:hr="t" fillcolor="gray" stroked="f"/>
        </w:pict>
      </w:r>
    </w:p>
    <w:p w:rsidR="00D7100D" w:rsidRPr="007D6C09" w:rsidRDefault="00C63EEF" w:rsidP="005A304E">
      <w:pPr>
        <w:spacing w:before="100" w:beforeAutospacing="1" w:after="100" w:afterAutospacing="1" w:line="240" w:lineRule="auto"/>
        <w:rPr>
          <w:rFonts w:eastAsia="Times New Roman" w:cs="Times New Roman"/>
          <w:sz w:val="16"/>
          <w:szCs w:val="16"/>
          <w:lang w:eastAsia="en-AU"/>
        </w:rPr>
      </w:pPr>
      <w:hyperlink r:id="rId7" w:anchor="_ednref1" w:history="1">
        <w:r w:rsidR="00D7100D" w:rsidRPr="007D6C09">
          <w:rPr>
            <w:rFonts w:eastAsia="Times New Roman" w:cs="Times New Roman"/>
            <w:color w:val="0000FF"/>
            <w:sz w:val="16"/>
            <w:szCs w:val="16"/>
            <w:u w:val="single"/>
            <w:lang w:eastAsia="en-AU"/>
          </w:rPr>
          <w:t>[iii]</w:t>
        </w:r>
      </w:hyperlink>
      <w:r w:rsidR="00D7100D" w:rsidRPr="007D6C09">
        <w:rPr>
          <w:rFonts w:eastAsia="Times New Roman" w:cs="Times New Roman"/>
          <w:sz w:val="16"/>
          <w:szCs w:val="16"/>
          <w:lang w:eastAsia="en-AU"/>
        </w:rPr>
        <w:t xml:space="preserve"> Wardle J 2008, </w:t>
      </w:r>
      <w:r w:rsidR="00D7100D" w:rsidRPr="007D6C09">
        <w:rPr>
          <w:rFonts w:eastAsia="Times New Roman" w:cs="Times New Roman"/>
          <w:i/>
          <w:iCs/>
          <w:sz w:val="16"/>
          <w:szCs w:val="16"/>
          <w:lang w:eastAsia="en-AU"/>
        </w:rPr>
        <w:t>Regulation of complementary medicines: A brief report on the regulation and potential role of complementary medicines in Australia</w:t>
      </w:r>
      <w:r w:rsidR="00D7100D" w:rsidRPr="007D6C09">
        <w:rPr>
          <w:rFonts w:eastAsia="Times New Roman" w:cs="Times New Roman"/>
          <w:sz w:val="16"/>
          <w:szCs w:val="16"/>
          <w:lang w:eastAsia="en-AU"/>
        </w:rPr>
        <w:t xml:space="preserve"> NORPHCAM - The Network of Researchers in the Public Health of Complementary and Alternative Medicine School of Population Health University of Queensland Herston Q 4000</w:t>
      </w:r>
      <w:r w:rsidR="00D7100D" w:rsidRPr="007D6C09">
        <w:rPr>
          <w:rFonts w:eastAsia="Times New Roman" w:cs="Times New Roman"/>
          <w:sz w:val="16"/>
          <w:szCs w:val="16"/>
          <w:lang w:eastAsia="en-AU"/>
        </w:rPr>
        <w:br w:type="textWrapping" w:clear="all"/>
      </w:r>
      <w:r>
        <w:rPr>
          <w:rFonts w:eastAsia="Times New Roman" w:cs="Times New Roman"/>
          <w:sz w:val="16"/>
          <w:szCs w:val="16"/>
          <w:lang w:eastAsia="en-AU"/>
        </w:rPr>
        <w:pict>
          <v:rect id="_x0000_i1029" style="width:148.95pt;height:.75pt" o:hrpct="330" o:hrstd="t" o:hr="t" fillcolor="gray" stroked="f"/>
        </w:pict>
      </w:r>
    </w:p>
    <w:p w:rsidR="00D7100D" w:rsidRPr="007D6C09" w:rsidRDefault="00C63EEF" w:rsidP="005A304E">
      <w:pPr>
        <w:spacing w:before="100" w:beforeAutospacing="1" w:after="100" w:afterAutospacing="1" w:line="240" w:lineRule="auto"/>
        <w:rPr>
          <w:rFonts w:eastAsia="Times New Roman" w:cs="Times New Roman"/>
          <w:sz w:val="16"/>
          <w:szCs w:val="16"/>
          <w:lang w:eastAsia="en-AU"/>
        </w:rPr>
      </w:pPr>
      <w:hyperlink r:id="rId8" w:anchor="_ednref1" w:history="1">
        <w:r w:rsidR="00D7100D" w:rsidRPr="007D6C09">
          <w:rPr>
            <w:rFonts w:eastAsia="Times New Roman" w:cs="Times New Roman"/>
            <w:color w:val="0000FF"/>
            <w:sz w:val="16"/>
            <w:szCs w:val="16"/>
            <w:u w:val="single"/>
            <w:lang w:eastAsia="en-AU"/>
          </w:rPr>
          <w:t>[iv]</w:t>
        </w:r>
      </w:hyperlink>
      <w:r w:rsidR="00D7100D" w:rsidRPr="007D6C09">
        <w:rPr>
          <w:rFonts w:eastAsia="Times New Roman" w:cs="Times New Roman"/>
          <w:sz w:val="16"/>
          <w:szCs w:val="16"/>
          <w:lang w:eastAsia="en-AU"/>
        </w:rPr>
        <w:t xml:space="preserve"> Lin et al 2005, </w:t>
      </w:r>
      <w:r w:rsidR="00D7100D" w:rsidRPr="007D6C09">
        <w:rPr>
          <w:rFonts w:eastAsia="Times New Roman" w:cs="Times New Roman"/>
          <w:i/>
          <w:iCs/>
          <w:sz w:val="16"/>
          <w:szCs w:val="16"/>
          <w:lang w:eastAsia="en-AU"/>
        </w:rPr>
        <w:t>The Practice and Regulatory Requirements of Naturopaths and Western Herbal Medicine Practitioners</w:t>
      </w:r>
      <w:r w:rsidR="00D7100D" w:rsidRPr="007D6C09">
        <w:rPr>
          <w:rFonts w:eastAsia="Times New Roman" w:cs="Times New Roman"/>
          <w:sz w:val="16"/>
          <w:szCs w:val="16"/>
          <w:lang w:eastAsia="en-AU"/>
        </w:rPr>
        <w:t>, La Trobe University School of Health p13</w:t>
      </w:r>
      <w:r w:rsidR="00D7100D" w:rsidRPr="007D6C09">
        <w:rPr>
          <w:rFonts w:eastAsia="Times New Roman" w:cs="Times New Roman"/>
          <w:sz w:val="16"/>
          <w:szCs w:val="16"/>
          <w:lang w:eastAsia="en-AU"/>
        </w:rPr>
        <w:br w:type="textWrapping" w:clear="all"/>
      </w:r>
      <w:r>
        <w:rPr>
          <w:rFonts w:eastAsia="Times New Roman" w:cs="Times New Roman"/>
          <w:sz w:val="16"/>
          <w:szCs w:val="16"/>
          <w:lang w:eastAsia="en-AU"/>
        </w:rPr>
        <w:pict>
          <v:rect id="_x0000_i1030" style="width:148.95pt;height:.75pt" o:hrpct="330" o:hrstd="t" o:hr="t" fillcolor="gray" stroked="f"/>
        </w:pict>
      </w:r>
    </w:p>
    <w:p w:rsidR="00D7100D" w:rsidRPr="007D6C09" w:rsidRDefault="00C63EEF" w:rsidP="005A304E">
      <w:pPr>
        <w:spacing w:before="100" w:beforeAutospacing="1" w:after="100" w:afterAutospacing="1" w:line="240" w:lineRule="auto"/>
        <w:rPr>
          <w:rFonts w:eastAsia="Times New Roman" w:cs="Times New Roman"/>
          <w:sz w:val="16"/>
          <w:szCs w:val="16"/>
          <w:lang w:eastAsia="en-AU"/>
        </w:rPr>
      </w:pPr>
      <w:hyperlink r:id="rId9" w:anchor="_ednref1" w:history="1">
        <w:r w:rsidR="00D7100D" w:rsidRPr="007D6C09">
          <w:rPr>
            <w:rFonts w:eastAsia="Times New Roman" w:cs="Times New Roman"/>
            <w:color w:val="0000FF"/>
            <w:sz w:val="16"/>
            <w:szCs w:val="16"/>
            <w:u w:val="single"/>
            <w:lang w:eastAsia="en-AU"/>
          </w:rPr>
          <w:t>[v]</w:t>
        </w:r>
      </w:hyperlink>
      <w:r w:rsidR="00D7100D" w:rsidRPr="007D6C09">
        <w:rPr>
          <w:rFonts w:eastAsia="Times New Roman" w:cs="Times New Roman"/>
          <w:sz w:val="16"/>
          <w:szCs w:val="16"/>
          <w:lang w:eastAsia="en-AU"/>
        </w:rPr>
        <w:t xml:space="preserve"> Braun L.A et al 2013</w:t>
      </w:r>
      <w:r w:rsidR="00D7100D" w:rsidRPr="007D6C09">
        <w:rPr>
          <w:rFonts w:eastAsia="Times New Roman" w:cs="Times New Roman"/>
          <w:i/>
          <w:iCs/>
          <w:sz w:val="16"/>
          <w:szCs w:val="16"/>
          <w:lang w:eastAsia="en-AU"/>
        </w:rPr>
        <w:t>, Naturopaths and Western Herbalists’ attitudes to evidence, regulation, information sources and knowledge about popular complementary medicines,</w:t>
      </w:r>
      <w:r w:rsidR="00D7100D" w:rsidRPr="007D6C09">
        <w:rPr>
          <w:rFonts w:eastAsia="Times New Roman" w:cs="Times New Roman"/>
          <w:sz w:val="16"/>
          <w:szCs w:val="16"/>
          <w:lang w:eastAsia="en-AU"/>
        </w:rPr>
        <w:t xml:space="preserve"> 21:pp 60-61, Elsevier Complementary Therapies in Medicine, www.elsevierhealth.com/journals/ctim</w:t>
      </w:r>
      <w:r w:rsidR="00D7100D" w:rsidRPr="007D6C09">
        <w:rPr>
          <w:rFonts w:eastAsia="Times New Roman" w:cs="Times New Roman"/>
          <w:sz w:val="16"/>
          <w:szCs w:val="16"/>
          <w:lang w:eastAsia="en-AU"/>
        </w:rPr>
        <w:br w:type="textWrapping" w:clear="all"/>
      </w:r>
      <w:r>
        <w:rPr>
          <w:rFonts w:eastAsia="Times New Roman" w:cs="Times New Roman"/>
          <w:sz w:val="16"/>
          <w:szCs w:val="16"/>
          <w:lang w:eastAsia="en-AU"/>
        </w:rPr>
        <w:pict>
          <v:rect id="_x0000_i1031" style="width:148.95pt;height:.75pt" o:hrpct="330" o:hrstd="t" o:hr="t" fillcolor="gray" stroked="f"/>
        </w:pict>
      </w:r>
    </w:p>
    <w:p w:rsidR="00D7100D" w:rsidRPr="007D6C09" w:rsidRDefault="00C63EEF" w:rsidP="00D7100D">
      <w:pPr>
        <w:spacing w:before="100" w:beforeAutospacing="1" w:after="100" w:afterAutospacing="1" w:line="240" w:lineRule="auto"/>
        <w:rPr>
          <w:rFonts w:eastAsia="Times New Roman" w:cs="Times New Roman"/>
          <w:sz w:val="16"/>
          <w:szCs w:val="16"/>
          <w:lang w:eastAsia="en-AU"/>
        </w:rPr>
      </w:pPr>
      <w:hyperlink r:id="rId10" w:anchor="_ednref1" w:history="1">
        <w:r w:rsidR="00D7100D" w:rsidRPr="007D6C09">
          <w:rPr>
            <w:rFonts w:eastAsia="Times New Roman" w:cs="Times New Roman"/>
            <w:color w:val="0000FF"/>
            <w:sz w:val="16"/>
            <w:szCs w:val="16"/>
            <w:u w:val="single"/>
            <w:lang w:eastAsia="en-AU"/>
          </w:rPr>
          <w:t>[vi]</w:t>
        </w:r>
      </w:hyperlink>
      <w:bookmarkEnd w:id="3"/>
      <w:r w:rsidR="00D7100D" w:rsidRPr="007D6C09">
        <w:rPr>
          <w:rFonts w:eastAsia="Times New Roman" w:cs="Times New Roman"/>
          <w:sz w:val="16"/>
          <w:szCs w:val="16"/>
          <w:lang w:eastAsia="en-AU"/>
        </w:rPr>
        <w:t xml:space="preserve"> 2,982 practitioners employed as Naturopaths (as captured in the 2006 Census). In contrast to number of Acupuncturists (948), and </w:t>
      </w:r>
      <w:r w:rsidR="00D7100D" w:rsidRPr="007D6C09">
        <w:rPr>
          <w:rFonts w:eastAsia="Times New Roman" w:cs="Times New Roman"/>
          <w:sz w:val="16"/>
          <w:szCs w:val="16"/>
          <w:shd w:val="clear" w:color="auto" w:fill="FFFFFF"/>
          <w:lang w:eastAsia="en-AU"/>
        </w:rPr>
        <w:t>Traditional Chinese medicine practitioners (480)–both of whom underwent the process of National Registration in 2012.</w:t>
      </w:r>
    </w:p>
    <w:p w:rsidR="00387B68" w:rsidRPr="007D6C09" w:rsidRDefault="00387B68">
      <w:pPr>
        <w:rPr>
          <w:sz w:val="16"/>
          <w:szCs w:val="16"/>
        </w:rPr>
      </w:pPr>
    </w:p>
    <w:sectPr w:rsidR="00387B68" w:rsidRPr="007D6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0D"/>
    <w:rsid w:val="001A0067"/>
    <w:rsid w:val="00387B68"/>
    <w:rsid w:val="005A304E"/>
    <w:rsid w:val="007D6C09"/>
    <w:rsid w:val="009700B1"/>
    <w:rsid w:val="00C63EEF"/>
    <w:rsid w:val="00D71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710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71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15561">
      <w:bodyDiv w:val="1"/>
      <w:marLeft w:val="0"/>
      <w:marRight w:val="0"/>
      <w:marTop w:val="0"/>
      <w:marBottom w:val="0"/>
      <w:divBdr>
        <w:top w:val="none" w:sz="0" w:space="0" w:color="auto"/>
        <w:left w:val="none" w:sz="0" w:space="0" w:color="auto"/>
        <w:bottom w:val="none" w:sz="0" w:space="0" w:color="auto"/>
        <w:right w:val="none" w:sz="0" w:space="0" w:color="auto"/>
      </w:divBdr>
      <w:divsChild>
        <w:div w:id="162036">
          <w:marLeft w:val="0"/>
          <w:marRight w:val="0"/>
          <w:marTop w:val="0"/>
          <w:marBottom w:val="0"/>
          <w:divBdr>
            <w:top w:val="none" w:sz="0" w:space="0" w:color="auto"/>
            <w:left w:val="none" w:sz="0" w:space="0" w:color="auto"/>
            <w:bottom w:val="none" w:sz="0" w:space="0" w:color="auto"/>
            <w:right w:val="none" w:sz="0" w:space="0" w:color="auto"/>
          </w:divBdr>
          <w:divsChild>
            <w:div w:id="814643932">
              <w:marLeft w:val="0"/>
              <w:marRight w:val="0"/>
              <w:marTop w:val="0"/>
              <w:marBottom w:val="0"/>
              <w:divBdr>
                <w:top w:val="none" w:sz="0" w:space="0" w:color="auto"/>
                <w:left w:val="none" w:sz="0" w:space="0" w:color="auto"/>
                <w:bottom w:val="none" w:sz="0" w:space="0" w:color="auto"/>
                <w:right w:val="none" w:sz="0" w:space="0" w:color="auto"/>
              </w:divBdr>
            </w:div>
          </w:divsChild>
        </w:div>
        <w:div w:id="1521234369">
          <w:marLeft w:val="0"/>
          <w:marRight w:val="0"/>
          <w:marTop w:val="0"/>
          <w:marBottom w:val="0"/>
          <w:divBdr>
            <w:top w:val="none" w:sz="0" w:space="0" w:color="auto"/>
            <w:left w:val="none" w:sz="0" w:space="0" w:color="auto"/>
            <w:bottom w:val="none" w:sz="0" w:space="0" w:color="auto"/>
            <w:right w:val="none" w:sz="0" w:space="0" w:color="auto"/>
          </w:divBdr>
          <w:divsChild>
            <w:div w:id="1049573659">
              <w:marLeft w:val="0"/>
              <w:marRight w:val="0"/>
              <w:marTop w:val="0"/>
              <w:marBottom w:val="0"/>
              <w:divBdr>
                <w:top w:val="none" w:sz="0" w:space="0" w:color="auto"/>
                <w:left w:val="none" w:sz="0" w:space="0" w:color="auto"/>
                <w:bottom w:val="none" w:sz="0" w:space="0" w:color="auto"/>
                <w:right w:val="none" w:sz="0" w:space="0" w:color="auto"/>
              </w:divBdr>
              <w:divsChild>
                <w:div w:id="214318726">
                  <w:marLeft w:val="0"/>
                  <w:marRight w:val="0"/>
                  <w:marTop w:val="0"/>
                  <w:marBottom w:val="0"/>
                  <w:divBdr>
                    <w:top w:val="none" w:sz="0" w:space="0" w:color="auto"/>
                    <w:left w:val="none" w:sz="0" w:space="0" w:color="auto"/>
                    <w:bottom w:val="none" w:sz="0" w:space="0" w:color="auto"/>
                    <w:right w:val="none" w:sz="0" w:space="0" w:color="auto"/>
                  </w:divBdr>
                  <w:divsChild>
                    <w:div w:id="1120757871">
                      <w:marLeft w:val="0"/>
                      <w:marRight w:val="0"/>
                      <w:marTop w:val="0"/>
                      <w:marBottom w:val="0"/>
                      <w:divBdr>
                        <w:top w:val="none" w:sz="0" w:space="0" w:color="auto"/>
                        <w:left w:val="none" w:sz="0" w:space="0" w:color="auto"/>
                        <w:bottom w:val="none" w:sz="0" w:space="0" w:color="auto"/>
                        <w:right w:val="none" w:sz="0" w:space="0" w:color="auto"/>
                      </w:divBdr>
                    </w:div>
                    <w:div w:id="1963606615">
                      <w:marLeft w:val="0"/>
                      <w:marRight w:val="0"/>
                      <w:marTop w:val="0"/>
                      <w:marBottom w:val="0"/>
                      <w:divBdr>
                        <w:top w:val="none" w:sz="0" w:space="0" w:color="auto"/>
                        <w:left w:val="none" w:sz="0" w:space="0" w:color="auto"/>
                        <w:bottom w:val="none" w:sz="0" w:space="0" w:color="auto"/>
                        <w:right w:val="none" w:sz="0" w:space="0" w:color="auto"/>
                      </w:divBdr>
                      <w:divsChild>
                        <w:div w:id="1394085612">
                          <w:marLeft w:val="0"/>
                          <w:marRight w:val="0"/>
                          <w:marTop w:val="0"/>
                          <w:marBottom w:val="0"/>
                          <w:divBdr>
                            <w:top w:val="none" w:sz="0" w:space="0" w:color="auto"/>
                            <w:left w:val="none" w:sz="0" w:space="0" w:color="auto"/>
                            <w:bottom w:val="none" w:sz="0" w:space="0" w:color="auto"/>
                            <w:right w:val="none" w:sz="0" w:space="0" w:color="auto"/>
                          </w:divBdr>
                          <w:divsChild>
                            <w:div w:id="480737711">
                              <w:marLeft w:val="0"/>
                              <w:marRight w:val="0"/>
                              <w:marTop w:val="0"/>
                              <w:marBottom w:val="0"/>
                              <w:divBdr>
                                <w:top w:val="none" w:sz="0" w:space="0" w:color="auto"/>
                                <w:left w:val="none" w:sz="0" w:space="0" w:color="auto"/>
                                <w:bottom w:val="none" w:sz="0" w:space="0" w:color="auto"/>
                                <w:right w:val="none" w:sz="0" w:space="0" w:color="auto"/>
                              </w:divBdr>
                              <w:divsChild>
                                <w:div w:id="917405208">
                                  <w:marLeft w:val="0"/>
                                  <w:marRight w:val="0"/>
                                  <w:marTop w:val="0"/>
                                  <w:marBottom w:val="0"/>
                                  <w:divBdr>
                                    <w:top w:val="none" w:sz="0" w:space="0" w:color="auto"/>
                                    <w:left w:val="none" w:sz="0" w:space="0" w:color="auto"/>
                                    <w:bottom w:val="none" w:sz="0" w:space="0" w:color="auto"/>
                                    <w:right w:val="none" w:sz="0" w:space="0" w:color="auto"/>
                                  </w:divBdr>
                                  <w:divsChild>
                                    <w:div w:id="1946769422">
                                      <w:marLeft w:val="0"/>
                                      <w:marRight w:val="0"/>
                                      <w:marTop w:val="0"/>
                                      <w:marBottom w:val="0"/>
                                      <w:divBdr>
                                        <w:top w:val="none" w:sz="0" w:space="0" w:color="auto"/>
                                        <w:left w:val="none" w:sz="0" w:space="0" w:color="auto"/>
                                        <w:bottom w:val="none" w:sz="0" w:space="0" w:color="auto"/>
                                        <w:right w:val="none" w:sz="0" w:space="0" w:color="auto"/>
                                      </w:divBdr>
                                      <w:divsChild>
                                        <w:div w:id="937561896">
                                          <w:marLeft w:val="0"/>
                                          <w:marRight w:val="0"/>
                                          <w:marTop w:val="0"/>
                                          <w:marBottom w:val="0"/>
                                          <w:divBdr>
                                            <w:top w:val="none" w:sz="0" w:space="0" w:color="auto"/>
                                            <w:left w:val="none" w:sz="0" w:space="0" w:color="auto"/>
                                            <w:bottom w:val="none" w:sz="0" w:space="0" w:color="auto"/>
                                            <w:right w:val="none" w:sz="0" w:space="0" w:color="auto"/>
                                          </w:divBdr>
                                          <w:divsChild>
                                            <w:div w:id="204106614">
                                              <w:marLeft w:val="0"/>
                                              <w:marRight w:val="0"/>
                                              <w:marTop w:val="0"/>
                                              <w:marBottom w:val="0"/>
                                              <w:divBdr>
                                                <w:top w:val="none" w:sz="0" w:space="0" w:color="auto"/>
                                                <w:left w:val="none" w:sz="0" w:space="0" w:color="auto"/>
                                                <w:bottom w:val="none" w:sz="0" w:space="0" w:color="auto"/>
                                                <w:right w:val="none" w:sz="0" w:space="0" w:color="auto"/>
                                              </w:divBdr>
                                              <w:divsChild>
                                                <w:div w:id="313605992">
                                                  <w:marLeft w:val="0"/>
                                                  <w:marRight w:val="0"/>
                                                  <w:marTop w:val="0"/>
                                                  <w:marBottom w:val="0"/>
                                                  <w:divBdr>
                                                    <w:top w:val="none" w:sz="0" w:space="0" w:color="auto"/>
                                                    <w:left w:val="none" w:sz="0" w:space="0" w:color="auto"/>
                                                    <w:bottom w:val="none" w:sz="0" w:space="0" w:color="auto"/>
                                                    <w:right w:val="none" w:sz="0" w:space="0" w:color="auto"/>
                                                  </w:divBdr>
                                                  <w:divsChild>
                                                    <w:div w:id="895823048">
                                                      <w:marLeft w:val="0"/>
                                                      <w:marRight w:val="0"/>
                                                      <w:marTop w:val="0"/>
                                                      <w:marBottom w:val="0"/>
                                                      <w:divBdr>
                                                        <w:top w:val="none" w:sz="0" w:space="0" w:color="auto"/>
                                                        <w:left w:val="none" w:sz="0" w:space="0" w:color="auto"/>
                                                        <w:bottom w:val="none" w:sz="0" w:space="0" w:color="auto"/>
                                                        <w:right w:val="none" w:sz="0" w:space="0" w:color="auto"/>
                                                      </w:divBdr>
                                                      <w:divsChild>
                                                        <w:div w:id="21465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c.org.au/Registration-of-Practitioners?mode=0&amp;css=0&amp;ver=4.5.2aurora_horizontal_orangef22783eb634904495340000000634970104060000000" TargetMode="External"/><Relationship Id="rId3" Type="http://schemas.openxmlformats.org/officeDocument/2006/relationships/settings" Target="settings.xml"/><Relationship Id="rId7" Type="http://schemas.openxmlformats.org/officeDocument/2006/relationships/hyperlink" Target="http://www.chc.org.au/Registration-of-Practitioners?mode=0&amp;css=0&amp;ver=4.5.2aurora_horizontal_orangef22783eb63490449534000000063497010406000000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c.org.au/Registration-of-Practitioners?mode=0&amp;css=0&amp;ver=4.5.2aurora_horizontal_orangef22783eb634904495340000000634970104060000000" TargetMode="External"/><Relationship Id="rId11" Type="http://schemas.openxmlformats.org/officeDocument/2006/relationships/fontTable" Target="fontTable.xml"/><Relationship Id="rId5" Type="http://schemas.openxmlformats.org/officeDocument/2006/relationships/hyperlink" Target="http://www.chc.org.au/Registration-of-Practitioners" TargetMode="External"/><Relationship Id="rId10" Type="http://schemas.openxmlformats.org/officeDocument/2006/relationships/hyperlink" Target="http://www.chc.org.au/Registration-of-Practitioners?mode=0&amp;css=0&amp;ver=4.5.2aurora_horizontal_orangef22783eb634904495340000000634970104060000000" TargetMode="External"/><Relationship Id="rId4" Type="http://schemas.openxmlformats.org/officeDocument/2006/relationships/webSettings" Target="webSettings.xml"/><Relationship Id="rId9" Type="http://schemas.openxmlformats.org/officeDocument/2006/relationships/hyperlink" Target="http://www.chc.org.au/Registration-of-Practitioners?mode=0&amp;css=0&amp;ver=4.5.2aurora_horizontal_orangef22783eb63490449534000000063497010406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Anderson</dc:creator>
  <cp:lastModifiedBy>Philip Anderson</cp:lastModifiedBy>
  <cp:revision>2</cp:revision>
  <dcterms:created xsi:type="dcterms:W3CDTF">2013-07-04T05:05:00Z</dcterms:created>
  <dcterms:modified xsi:type="dcterms:W3CDTF">2013-07-04T05:05:00Z</dcterms:modified>
</cp:coreProperties>
</file>