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F53B9" w14:textId="4BF5B4F5" w:rsidR="001E428F" w:rsidRDefault="00B80C53" w:rsidP="00B20B9C">
      <w:pPr>
        <w:spacing w:after="100" w:afterAutospacing="1"/>
        <w:rPr>
          <w:rFonts w:asciiTheme="minorHAnsi" w:hAnsiTheme="minorHAnsi" w:cstheme="minorHAnsi"/>
          <w:b/>
          <w:bCs/>
          <w:color w:val="365F91"/>
          <w:sz w:val="28"/>
          <w:szCs w:val="28"/>
        </w:rPr>
      </w:pPr>
      <w:r w:rsidRPr="0086556F">
        <w:rPr>
          <w:rFonts w:ascii="Cambria" w:hAnsi="Cambria"/>
        </w:rPr>
        <w:t xml:space="preserve"> </w:t>
      </w:r>
      <w:r w:rsidR="00CB415D" w:rsidRPr="0086556F">
        <w:rPr>
          <w:rFonts w:ascii="Cambria" w:hAnsi="Cambria"/>
        </w:rPr>
        <w:t xml:space="preserve"> </w:t>
      </w:r>
      <w:r w:rsidR="00F731C1" w:rsidRPr="0086556F">
        <w:rPr>
          <w:rFonts w:ascii="Cambria" w:hAnsi="Cambria"/>
        </w:rPr>
        <w:t xml:space="preserve"> </w:t>
      </w:r>
      <w:r w:rsidR="00A166CA" w:rsidRPr="0086556F">
        <w:rPr>
          <w:rFonts w:ascii="Cambria" w:hAnsi="Cambria"/>
        </w:rPr>
        <w:tab/>
      </w:r>
      <w:r w:rsidR="00A166CA" w:rsidRPr="0086556F">
        <w:rPr>
          <w:rFonts w:ascii="Cambria" w:hAnsi="Cambria"/>
        </w:rPr>
        <w:tab/>
      </w:r>
      <w:r w:rsidR="00A166CA" w:rsidRPr="0086556F">
        <w:rPr>
          <w:rFonts w:ascii="Cambria" w:hAnsi="Cambria"/>
        </w:rPr>
        <w:tab/>
      </w:r>
      <w:r w:rsidR="00A166CA" w:rsidRPr="0086556F">
        <w:rPr>
          <w:rFonts w:ascii="Cambria" w:hAnsi="Cambria"/>
        </w:rPr>
        <w:tab/>
      </w:r>
      <w:r w:rsidR="00A166CA" w:rsidRPr="0086556F">
        <w:rPr>
          <w:rFonts w:ascii="Cambria" w:hAnsi="Cambria"/>
        </w:rPr>
        <w:tab/>
      </w:r>
      <w:r w:rsidR="00A166CA" w:rsidRPr="0086556F">
        <w:rPr>
          <w:rFonts w:ascii="Cambria" w:hAnsi="Cambria"/>
        </w:rPr>
        <w:tab/>
      </w:r>
      <w:r w:rsidR="00A166CA" w:rsidRPr="0086556F">
        <w:rPr>
          <w:rFonts w:ascii="Cambria" w:hAnsi="Cambria"/>
        </w:rPr>
        <w:tab/>
      </w:r>
      <w:r w:rsidR="00A166CA" w:rsidRPr="0086556F">
        <w:rPr>
          <w:rFonts w:asciiTheme="minorHAnsi" w:hAnsiTheme="minorHAnsi" w:cstheme="minorHAnsi"/>
        </w:rPr>
        <w:tab/>
      </w:r>
      <w:r w:rsidR="00A166CA" w:rsidRPr="0086556F">
        <w:rPr>
          <w:rFonts w:asciiTheme="minorHAnsi" w:hAnsiTheme="minorHAnsi" w:cstheme="minorHAnsi"/>
        </w:rPr>
        <w:tab/>
      </w:r>
      <w:r w:rsidR="00330C60" w:rsidRPr="00B20B9C">
        <w:rPr>
          <w:rFonts w:ascii="Calibri" w:hAnsi="Calibri" w:cs="Calibri"/>
          <w:b/>
          <w:color w:val="2F5496"/>
          <w:sz w:val="30"/>
          <w:szCs w:val="30"/>
          <w:lang w:val="en-GB" w:eastAsia="en-GB"/>
        </w:rPr>
        <w:t xml:space="preserve">         </w:t>
      </w:r>
      <w:r w:rsidR="00EC6AE3" w:rsidRPr="00B20B9C">
        <w:rPr>
          <w:rFonts w:ascii="Calibri" w:hAnsi="Calibri" w:cs="Calibri"/>
          <w:b/>
          <w:color w:val="2F5496"/>
          <w:sz w:val="30"/>
          <w:szCs w:val="30"/>
          <w:lang w:val="en-GB" w:eastAsia="en-GB"/>
        </w:rPr>
        <w:t>Technical Alert</w:t>
      </w:r>
      <w:r w:rsidR="00EC6AE3" w:rsidRPr="0086556F">
        <w:rPr>
          <w:rFonts w:asciiTheme="minorHAnsi" w:hAnsiTheme="minorHAnsi" w:cstheme="minorHAnsi"/>
          <w:b/>
          <w:bCs/>
          <w:color w:val="365F91"/>
          <w:sz w:val="28"/>
          <w:szCs w:val="28"/>
        </w:rPr>
        <w:t xml:space="preserve"> </w:t>
      </w:r>
    </w:p>
    <w:p w14:paraId="55D9A6DE" w14:textId="554F424D" w:rsidR="0055119A" w:rsidRDefault="0055119A" w:rsidP="0055119A">
      <w:pPr>
        <w:spacing w:after="100" w:afterAutospacing="1"/>
        <w:jc w:val="center"/>
        <w:rPr>
          <w:rFonts w:ascii="Calibri" w:hAnsi="Calibri" w:cs="Calibri"/>
          <w:b/>
          <w:color w:val="2F5496"/>
          <w:sz w:val="30"/>
          <w:szCs w:val="30"/>
          <w:lang w:val="en-GB" w:eastAsia="en-GB"/>
        </w:rPr>
      </w:pPr>
      <w:r w:rsidRPr="0055119A">
        <w:rPr>
          <w:rFonts w:ascii="Calibri" w:hAnsi="Calibri" w:cs="Calibri"/>
          <w:b/>
          <w:color w:val="2F5496"/>
          <w:sz w:val="30"/>
          <w:szCs w:val="30"/>
          <w:lang w:val="en-GB" w:eastAsia="en-GB"/>
        </w:rPr>
        <w:t>Update to the Permissible Ingredients Determination</w:t>
      </w:r>
    </w:p>
    <w:p w14:paraId="07B7393A" w14:textId="161A07FB" w:rsidR="0055119A" w:rsidRPr="009E788B" w:rsidRDefault="0055119A" w:rsidP="0018069E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119A">
        <w:rPr>
          <w:rFonts w:asciiTheme="minorHAnsi" w:hAnsiTheme="minorHAnsi" w:cstheme="minorHAnsi"/>
          <w:sz w:val="22"/>
          <w:szCs w:val="22"/>
        </w:rPr>
        <w:t xml:space="preserve">A new </w:t>
      </w:r>
      <w:hyperlink r:id="rId11" w:history="1">
        <w:r w:rsidR="009E788B" w:rsidRPr="00AF5954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Therapeutic Goods (Permissible Ingredients) Determination (No. 3) 2020</w:t>
        </w:r>
      </w:hyperlink>
      <w:r w:rsidRPr="0055119A">
        <w:rPr>
          <w:rFonts w:asciiTheme="minorHAnsi" w:hAnsiTheme="minorHAnsi" w:cstheme="minorHAnsi"/>
          <w:sz w:val="22"/>
          <w:szCs w:val="22"/>
        </w:rPr>
        <w:t xml:space="preserve"> (the Determination), has commenced. This instrument is made under section 26BB of the </w:t>
      </w:r>
      <w:r w:rsidRPr="001370F5">
        <w:rPr>
          <w:rFonts w:asciiTheme="minorHAnsi" w:hAnsiTheme="minorHAnsi" w:cstheme="minorHAnsi"/>
          <w:i/>
          <w:iCs/>
          <w:sz w:val="22"/>
          <w:szCs w:val="22"/>
        </w:rPr>
        <w:t>Therapeutic Goods Act 1989</w:t>
      </w:r>
      <w:r w:rsidRPr="0055119A">
        <w:rPr>
          <w:rFonts w:asciiTheme="minorHAnsi" w:hAnsiTheme="minorHAnsi" w:cstheme="minorHAnsi"/>
          <w:sz w:val="22"/>
          <w:szCs w:val="22"/>
        </w:rPr>
        <w:t xml:space="preserve"> ('the Act') and repeals the </w:t>
      </w:r>
      <w:r w:rsidR="009E788B" w:rsidRPr="009E788B">
        <w:rPr>
          <w:rFonts w:asciiTheme="minorHAnsi" w:hAnsiTheme="minorHAnsi" w:cstheme="minorHAnsi"/>
          <w:i/>
          <w:iCs/>
          <w:sz w:val="22"/>
          <w:szCs w:val="22"/>
        </w:rPr>
        <w:t>Therapeutic Goods (Permissible Ingredients) Determination (No. 2) 2020</w:t>
      </w:r>
      <w:r w:rsidRPr="0055119A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0FB0321" w14:textId="77777777" w:rsidR="006461F4" w:rsidRDefault="006461F4" w:rsidP="0018069E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55119A">
        <w:rPr>
          <w:rFonts w:asciiTheme="minorHAnsi" w:hAnsiTheme="minorHAnsi" w:cstheme="minorHAnsi"/>
          <w:sz w:val="22"/>
          <w:szCs w:val="22"/>
        </w:rPr>
        <w:t>This Technical Alert contains a list of changes with a Checklist/Notes field for sponsors to use</w:t>
      </w:r>
      <w:r>
        <w:rPr>
          <w:rFonts w:asciiTheme="minorHAnsi" w:hAnsiTheme="minorHAnsi" w:cstheme="minorHAnsi"/>
          <w:sz w:val="22"/>
          <w:szCs w:val="22"/>
        </w:rPr>
        <w:t xml:space="preserve"> to assist in identifying the changes</w:t>
      </w:r>
      <w:r w:rsidRPr="0055119A">
        <w:rPr>
          <w:rFonts w:asciiTheme="minorHAnsi" w:hAnsiTheme="minorHAnsi" w:cstheme="minorHAnsi"/>
          <w:sz w:val="22"/>
          <w:szCs w:val="22"/>
        </w:rPr>
        <w:t>, as part of a table</w:t>
      </w:r>
      <w:r>
        <w:rPr>
          <w:rFonts w:asciiTheme="minorHAnsi" w:hAnsiTheme="minorHAnsi" w:cstheme="minorHAnsi"/>
          <w:sz w:val="22"/>
          <w:szCs w:val="22"/>
        </w:rPr>
        <w:t xml:space="preserve"> which includes</w:t>
      </w:r>
      <w:r w:rsidRPr="0055119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8B3BCFD" w14:textId="77777777" w:rsidR="006461F4" w:rsidRPr="00EC041B" w:rsidRDefault="006461F4" w:rsidP="0018069E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C041B">
        <w:rPr>
          <w:rFonts w:asciiTheme="minorHAnsi" w:hAnsiTheme="minorHAnsi" w:cstheme="minorHAnsi"/>
        </w:rPr>
        <w:t xml:space="preserve">Each new or changed ingredient </w:t>
      </w:r>
    </w:p>
    <w:p w14:paraId="02661200" w14:textId="77777777" w:rsidR="006461F4" w:rsidRPr="00EC041B" w:rsidRDefault="006461F4" w:rsidP="0018069E">
      <w:pPr>
        <w:pStyle w:val="ListParagraph"/>
        <w:numPr>
          <w:ilvl w:val="0"/>
          <w:numId w:val="42"/>
        </w:numPr>
        <w:spacing w:line="276" w:lineRule="auto"/>
        <w:rPr>
          <w:rFonts w:asciiTheme="minorHAnsi" w:hAnsiTheme="minorHAnsi" w:cstheme="minorHAnsi"/>
        </w:rPr>
      </w:pPr>
      <w:r w:rsidRPr="00EC041B">
        <w:rPr>
          <w:rFonts w:asciiTheme="minorHAnsi" w:hAnsiTheme="minorHAnsi" w:cstheme="minorHAnsi"/>
        </w:rPr>
        <w:t xml:space="preserve">The original requirements </w:t>
      </w:r>
    </w:p>
    <w:p w14:paraId="707D8A2F" w14:textId="232D5474" w:rsidR="000944C6" w:rsidRPr="0018069E" w:rsidRDefault="006461F4" w:rsidP="0018069E">
      <w:pPr>
        <w:pStyle w:val="ListParagraph"/>
        <w:numPr>
          <w:ilvl w:val="0"/>
          <w:numId w:val="42"/>
        </w:numPr>
        <w:spacing w:after="16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Pr="00EC041B">
        <w:rPr>
          <w:rFonts w:asciiTheme="minorHAnsi" w:hAnsiTheme="minorHAnsi" w:cstheme="minorHAnsi"/>
        </w:rPr>
        <w:t xml:space="preserve">ew (amended) specific requirements. </w:t>
      </w:r>
    </w:p>
    <w:p w14:paraId="6F394FAD" w14:textId="3B5F8BC9" w:rsidR="006B36E8" w:rsidRPr="0018069E" w:rsidRDefault="00F672AF" w:rsidP="0018069E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 ingredients that have changed</w:t>
      </w:r>
      <w:r w:rsidR="00864DEA">
        <w:rPr>
          <w:rFonts w:asciiTheme="minorHAnsi" w:hAnsiTheme="minorHAnsi" w:cstheme="minorHAnsi"/>
          <w:sz w:val="22"/>
          <w:szCs w:val="22"/>
        </w:rPr>
        <w:t>:</w:t>
      </w:r>
    </w:p>
    <w:p w14:paraId="706DF984" w14:textId="6ABB8210" w:rsidR="00A17B0C" w:rsidRDefault="00864DEA" w:rsidP="0018069E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864DEA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5119A" w:rsidRPr="00864DEA">
        <w:rPr>
          <w:rFonts w:asciiTheme="minorHAnsi" w:hAnsiTheme="minorHAnsi" w:cstheme="minorHAnsi"/>
          <w:b/>
          <w:bCs/>
          <w:sz w:val="22"/>
          <w:szCs w:val="22"/>
        </w:rPr>
        <w:t>ponsors</w:t>
      </w:r>
      <w:r w:rsidR="0055119A" w:rsidRPr="0055119A">
        <w:rPr>
          <w:rFonts w:asciiTheme="minorHAnsi" w:hAnsiTheme="minorHAnsi" w:cstheme="minorHAnsi"/>
          <w:sz w:val="22"/>
          <w:szCs w:val="22"/>
        </w:rPr>
        <w:t xml:space="preserve"> should review</w:t>
      </w:r>
      <w:r w:rsidR="00F672AF">
        <w:rPr>
          <w:rFonts w:asciiTheme="minorHAnsi" w:hAnsiTheme="minorHAnsi" w:cstheme="minorHAnsi"/>
          <w:sz w:val="22"/>
          <w:szCs w:val="22"/>
        </w:rPr>
        <w:t xml:space="preserve"> affected products </w:t>
      </w:r>
      <w:r w:rsidR="0055119A" w:rsidRPr="0055119A">
        <w:rPr>
          <w:rFonts w:asciiTheme="minorHAnsi" w:hAnsiTheme="minorHAnsi" w:cstheme="minorHAnsi"/>
          <w:sz w:val="22"/>
          <w:szCs w:val="22"/>
        </w:rPr>
        <w:t>for</w:t>
      </w:r>
      <w:r w:rsidR="00F672AF">
        <w:rPr>
          <w:rFonts w:asciiTheme="minorHAnsi" w:hAnsiTheme="minorHAnsi" w:cstheme="minorHAnsi"/>
          <w:sz w:val="22"/>
          <w:szCs w:val="22"/>
        </w:rPr>
        <w:t xml:space="preserve"> changes to </w:t>
      </w:r>
      <w:r w:rsidR="0055119A" w:rsidRPr="0055119A">
        <w:rPr>
          <w:rFonts w:asciiTheme="minorHAnsi" w:hAnsiTheme="minorHAnsi" w:cstheme="minorHAnsi"/>
          <w:sz w:val="22"/>
          <w:szCs w:val="22"/>
        </w:rPr>
        <w:t>compliance</w:t>
      </w:r>
      <w:r w:rsidR="00F672AF">
        <w:rPr>
          <w:rFonts w:asciiTheme="minorHAnsi" w:hAnsiTheme="minorHAnsi" w:cstheme="minorHAnsi"/>
          <w:sz w:val="22"/>
          <w:szCs w:val="22"/>
        </w:rPr>
        <w:t xml:space="preserve"> requirements (this may include increased or decreased</w:t>
      </w:r>
      <w:r w:rsidR="00C35AF1">
        <w:rPr>
          <w:rFonts w:asciiTheme="minorHAnsi" w:hAnsiTheme="minorHAnsi" w:cstheme="minorHAnsi"/>
          <w:sz w:val="22"/>
          <w:szCs w:val="22"/>
        </w:rPr>
        <w:t xml:space="preserve"> regulatory </w:t>
      </w:r>
      <w:r w:rsidR="00F672AF">
        <w:rPr>
          <w:rFonts w:asciiTheme="minorHAnsi" w:hAnsiTheme="minorHAnsi" w:cstheme="minorHAnsi"/>
          <w:sz w:val="22"/>
          <w:szCs w:val="22"/>
        </w:rPr>
        <w:t>requirements)</w:t>
      </w:r>
      <w:r w:rsidR="0055119A" w:rsidRPr="00EF655F">
        <w:rPr>
          <w:rFonts w:asciiTheme="minorHAnsi" w:hAnsiTheme="minorHAnsi" w:cstheme="minorHAnsi"/>
          <w:sz w:val="22"/>
          <w:szCs w:val="22"/>
        </w:rPr>
        <w:t>.</w:t>
      </w:r>
      <w:r w:rsidR="003B07CD" w:rsidRPr="003B07CD">
        <w:rPr>
          <w:rFonts w:asciiTheme="minorHAnsi" w:hAnsiTheme="minorHAnsi" w:cstheme="minorHAnsi"/>
          <w:sz w:val="22"/>
          <w:szCs w:val="22"/>
        </w:rPr>
        <w:t xml:space="preserve"> </w:t>
      </w:r>
      <w:r w:rsidR="003B07CD">
        <w:rPr>
          <w:rFonts w:asciiTheme="minorHAnsi" w:hAnsiTheme="minorHAnsi" w:cstheme="minorHAnsi"/>
          <w:sz w:val="22"/>
          <w:szCs w:val="22"/>
        </w:rPr>
        <w:t>The change to this Determination mostly contains reduced regulatory requirements.</w:t>
      </w:r>
    </w:p>
    <w:p w14:paraId="2AC07057" w14:textId="7C862769" w:rsidR="003B07CD" w:rsidRPr="0018069E" w:rsidRDefault="00A544D9" w:rsidP="0018069E">
      <w:pPr>
        <w:spacing w:after="160" w:line="276" w:lineRule="auto"/>
        <w:rPr>
          <w:rFonts w:asciiTheme="minorHAnsi" w:hAnsiTheme="minorHAnsi" w:cstheme="minorHAnsi"/>
          <w:sz w:val="22"/>
          <w:szCs w:val="22"/>
        </w:rPr>
      </w:pPr>
      <w:r w:rsidRPr="00E9330E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17B0C" w:rsidRPr="00E9330E">
        <w:rPr>
          <w:rFonts w:asciiTheme="minorHAnsi" w:hAnsiTheme="minorHAnsi" w:cstheme="minorHAnsi"/>
          <w:b/>
          <w:bCs/>
          <w:sz w:val="22"/>
          <w:szCs w:val="22"/>
        </w:rPr>
        <w:t>uppliers of</w:t>
      </w:r>
      <w:r w:rsidR="00FF72A9" w:rsidRPr="00E9330E">
        <w:rPr>
          <w:rFonts w:asciiTheme="minorHAnsi" w:hAnsiTheme="minorHAnsi" w:cstheme="minorHAnsi"/>
          <w:b/>
          <w:bCs/>
          <w:sz w:val="22"/>
          <w:szCs w:val="22"/>
        </w:rPr>
        <w:t xml:space="preserve"> p</w:t>
      </w:r>
      <w:r w:rsidR="0055119A" w:rsidRPr="00E9330E">
        <w:rPr>
          <w:rFonts w:asciiTheme="minorHAnsi" w:hAnsiTheme="minorHAnsi" w:cstheme="minorHAnsi"/>
          <w:b/>
          <w:bCs/>
          <w:sz w:val="22"/>
          <w:szCs w:val="22"/>
        </w:rPr>
        <w:t>roprietary</w:t>
      </w:r>
      <w:r w:rsidR="00FF72A9" w:rsidRPr="00E9330E">
        <w:rPr>
          <w:rFonts w:asciiTheme="minorHAnsi" w:hAnsiTheme="minorHAnsi" w:cstheme="minorHAnsi"/>
          <w:b/>
          <w:bCs/>
          <w:sz w:val="22"/>
          <w:szCs w:val="22"/>
        </w:rPr>
        <w:t xml:space="preserve"> i</w:t>
      </w:r>
      <w:r w:rsidR="0055119A" w:rsidRPr="00E9330E">
        <w:rPr>
          <w:rFonts w:asciiTheme="minorHAnsi" w:hAnsiTheme="minorHAnsi" w:cstheme="minorHAnsi"/>
          <w:b/>
          <w:bCs/>
          <w:sz w:val="22"/>
          <w:szCs w:val="22"/>
        </w:rPr>
        <w:t>ngredien</w:t>
      </w:r>
      <w:r w:rsidR="00A17B0C" w:rsidRPr="00E9330E">
        <w:rPr>
          <w:rFonts w:asciiTheme="minorHAnsi" w:hAnsiTheme="minorHAnsi" w:cstheme="minorHAnsi"/>
          <w:b/>
          <w:bCs/>
          <w:sz w:val="22"/>
          <w:szCs w:val="22"/>
        </w:rPr>
        <w:t>ts</w:t>
      </w:r>
      <w:r w:rsidR="00A17B0C">
        <w:rPr>
          <w:rFonts w:asciiTheme="minorHAnsi" w:hAnsiTheme="minorHAnsi" w:cstheme="minorHAnsi"/>
          <w:sz w:val="22"/>
          <w:szCs w:val="22"/>
        </w:rPr>
        <w:t xml:space="preserve"> should also ensure tha</w:t>
      </w:r>
      <w:r>
        <w:rPr>
          <w:rFonts w:asciiTheme="minorHAnsi" w:hAnsiTheme="minorHAnsi" w:cstheme="minorHAnsi"/>
          <w:sz w:val="22"/>
          <w:szCs w:val="22"/>
        </w:rPr>
        <w:t>t</w:t>
      </w:r>
      <w:r w:rsidR="003070C7">
        <w:rPr>
          <w:rFonts w:asciiTheme="minorHAnsi" w:hAnsiTheme="minorHAnsi" w:cstheme="minorHAnsi"/>
          <w:sz w:val="22"/>
          <w:szCs w:val="22"/>
        </w:rPr>
        <w:t xml:space="preserve"> changes </w:t>
      </w:r>
      <w:r>
        <w:rPr>
          <w:rFonts w:asciiTheme="minorHAnsi" w:hAnsiTheme="minorHAnsi" w:cstheme="minorHAnsi"/>
          <w:sz w:val="22"/>
          <w:szCs w:val="22"/>
        </w:rPr>
        <w:t>are checked and up to date an</w:t>
      </w:r>
      <w:r w:rsidR="00164EF0">
        <w:rPr>
          <w:rFonts w:asciiTheme="minorHAnsi" w:hAnsiTheme="minorHAnsi" w:cstheme="minorHAnsi"/>
          <w:sz w:val="22"/>
          <w:szCs w:val="22"/>
        </w:rPr>
        <w:t xml:space="preserve">d provide </w:t>
      </w:r>
      <w:r>
        <w:rPr>
          <w:rFonts w:asciiTheme="minorHAnsi" w:hAnsiTheme="minorHAnsi" w:cstheme="minorHAnsi"/>
          <w:sz w:val="22"/>
          <w:szCs w:val="22"/>
        </w:rPr>
        <w:t>relevant information to sponsors of products</w:t>
      </w:r>
      <w:r w:rsidR="007A0064">
        <w:rPr>
          <w:rFonts w:asciiTheme="minorHAnsi" w:hAnsiTheme="minorHAnsi" w:cstheme="minorHAnsi"/>
          <w:sz w:val="22"/>
          <w:szCs w:val="22"/>
        </w:rPr>
        <w:t>. Sponsors are responsible for compliance of their products</w:t>
      </w:r>
      <w:r w:rsidR="00F92B1E">
        <w:rPr>
          <w:rFonts w:asciiTheme="minorHAnsi" w:hAnsiTheme="minorHAnsi" w:cstheme="minorHAnsi"/>
          <w:sz w:val="22"/>
          <w:szCs w:val="22"/>
        </w:rPr>
        <w:t xml:space="preserve"> under the Act </w:t>
      </w:r>
      <w:r w:rsidR="007A0064">
        <w:rPr>
          <w:rFonts w:asciiTheme="minorHAnsi" w:hAnsiTheme="minorHAnsi" w:cstheme="minorHAnsi"/>
          <w:sz w:val="22"/>
          <w:szCs w:val="22"/>
        </w:rPr>
        <w:t>and should check with proprietary ingredient suppliers</w:t>
      </w:r>
      <w:r w:rsidR="001A6F2F">
        <w:rPr>
          <w:rFonts w:asciiTheme="minorHAnsi" w:hAnsiTheme="minorHAnsi" w:cstheme="minorHAnsi"/>
          <w:sz w:val="22"/>
          <w:szCs w:val="22"/>
        </w:rPr>
        <w:t>.</w:t>
      </w:r>
    </w:p>
    <w:p w14:paraId="04376C41" w14:textId="772E0F73" w:rsidR="003B07CD" w:rsidRPr="003B07CD" w:rsidRDefault="003B07CD" w:rsidP="0018069E">
      <w:pPr>
        <w:spacing w:after="160" w:line="276" w:lineRule="auto"/>
        <w:rPr>
          <w:rFonts w:asciiTheme="minorHAnsi" w:hAnsiTheme="minorHAnsi" w:cstheme="minorHAnsi"/>
          <w:b/>
          <w:bCs/>
        </w:rPr>
      </w:pPr>
      <w:r w:rsidRPr="003B07CD">
        <w:rPr>
          <w:rFonts w:asciiTheme="minorHAnsi" w:hAnsiTheme="minorHAnsi" w:cstheme="minorHAnsi"/>
          <w:b/>
          <w:bCs/>
        </w:rPr>
        <w:t>Levodopa</w:t>
      </w:r>
    </w:p>
    <w:p w14:paraId="3092586F" w14:textId="2E76824F" w:rsidR="008029A7" w:rsidRDefault="006B36E8" w:rsidP="0018069E">
      <w:pPr>
        <w:spacing w:after="160" w:line="276" w:lineRule="auto"/>
        <w:rPr>
          <w:noProof/>
        </w:rPr>
      </w:pPr>
      <w:r w:rsidRPr="006B36E8">
        <w:rPr>
          <w:rFonts w:asciiTheme="minorHAnsi" w:hAnsiTheme="minorHAnsi" w:cstheme="minorHAnsi"/>
          <w:sz w:val="22"/>
          <w:szCs w:val="22"/>
        </w:rPr>
        <w:t>Th</w:t>
      </w:r>
      <w:r>
        <w:rPr>
          <w:rFonts w:asciiTheme="minorHAnsi" w:hAnsiTheme="minorHAnsi" w:cstheme="minorHAnsi"/>
          <w:sz w:val="22"/>
          <w:szCs w:val="22"/>
        </w:rPr>
        <w:t>is Determination corrects the requirements for herbs containing levodopa as a herbal component in accordance with the Poisons Schedule, to clarify that th</w:t>
      </w:r>
      <w:r w:rsidRPr="006B36E8">
        <w:rPr>
          <w:rFonts w:asciiTheme="minorHAnsi" w:hAnsiTheme="minorHAnsi" w:cstheme="minorHAnsi"/>
          <w:sz w:val="22"/>
          <w:szCs w:val="22"/>
        </w:rPr>
        <w:t>e concentration of levodopa in the</w:t>
      </w:r>
      <w:r w:rsidR="008029A7">
        <w:rPr>
          <w:rFonts w:asciiTheme="minorHAnsi" w:hAnsiTheme="minorHAnsi" w:cstheme="minorHAnsi"/>
          <w:sz w:val="22"/>
          <w:szCs w:val="22"/>
        </w:rPr>
        <w:t xml:space="preserve"> </w:t>
      </w:r>
      <w:r w:rsidRPr="008029A7">
        <w:rPr>
          <w:rFonts w:asciiTheme="minorHAnsi" w:hAnsiTheme="minorHAnsi" w:cstheme="minorHAnsi"/>
          <w:sz w:val="22"/>
          <w:szCs w:val="22"/>
          <w:u w:val="single"/>
        </w:rPr>
        <w:t>medicine</w:t>
      </w:r>
      <w:r w:rsidRPr="006B36E8">
        <w:rPr>
          <w:rFonts w:asciiTheme="minorHAnsi" w:hAnsiTheme="minorHAnsi" w:cstheme="minorHAnsi"/>
          <w:sz w:val="22"/>
          <w:szCs w:val="22"/>
        </w:rPr>
        <w:t xml:space="preserve"> must not be more than </w:t>
      </w:r>
      <w:r w:rsidRPr="008029A7">
        <w:rPr>
          <w:rFonts w:asciiTheme="minorHAnsi" w:hAnsiTheme="minorHAnsi" w:cstheme="minorHAnsi"/>
          <w:sz w:val="22"/>
          <w:szCs w:val="22"/>
          <w:u w:val="single"/>
        </w:rPr>
        <w:t>10 mg/kg or 10 mg/L or 0.001%.</w:t>
      </w:r>
    </w:p>
    <w:p w14:paraId="461A1E06" w14:textId="015CB4C9" w:rsidR="00326BC0" w:rsidRPr="0018069E" w:rsidRDefault="000944C6" w:rsidP="0018069E">
      <w:pPr>
        <w:spacing w:after="16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8069E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A65A27" wp14:editId="7867D46A">
                <wp:simplePos x="0" y="0"/>
                <wp:positionH relativeFrom="column">
                  <wp:posOffset>-95250</wp:posOffset>
                </wp:positionH>
                <wp:positionV relativeFrom="paragraph">
                  <wp:posOffset>645795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8E1A00" w14:textId="5343C42D" w:rsidR="00F1186E" w:rsidRPr="00F672AF" w:rsidRDefault="00F1186E" w:rsidP="00F1186E">
                            <w:pPr>
                              <w:spacing w:after="120" w:line="276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</w:t>
                            </w:r>
                            <w:r w:rsidRPr="00F672AF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Fallopia multiflora</w:t>
                            </w:r>
                            <w:r w:rsidRPr="00F672A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(Fo-Ti or He Shou Wu)</w:t>
                            </w:r>
                          </w:p>
                          <w:p w14:paraId="728861CA" w14:textId="69445B23" w:rsidR="00F1186E" w:rsidRPr="006B5B08" w:rsidRDefault="00F1186E" w:rsidP="001370F5">
                            <w:pPr>
                              <w:spacing w:after="120" w:line="276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Changes to </w:t>
                            </w:r>
                            <w:r w:rsidRPr="00F672A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Fallopia multiflora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are not listed in the below changes. However,</w:t>
                            </w:r>
                            <w:r w:rsidR="0086410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CMA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are aware that the TGA are currently proposing regulatory (safety) actions in relation to all products containing </w:t>
                            </w:r>
                            <w:r w:rsidRPr="00F672A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Fallopia multiflora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 and that this is</w:t>
                            </w:r>
                            <w:r w:rsidR="00EC0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likely to lead to changes to the 26BB Determination for this ingredient in the near future. If you are currently developing</w:t>
                            </w:r>
                            <w:r w:rsidR="00EC0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or intending to develop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any products with </w:t>
                            </w:r>
                            <w:r w:rsidRPr="00F672AF">
                              <w:rPr>
                                <w:rFonts w:asciiTheme="minorHAnsi" w:hAnsiTheme="minorHAnsi" w:cstheme="minorHAnsi"/>
                                <w:i/>
                                <w:iCs/>
                                <w:sz w:val="22"/>
                                <w:szCs w:val="22"/>
                              </w:rPr>
                              <w:t>Fallopia multiflora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please contact CMA via </w:t>
                            </w:r>
                            <w:hyperlink r:id="rId12" w:history="1">
                              <w:r w:rsidRPr="00571663">
                                <w:rPr>
                                  <w:rStyle w:val="Hyperlink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Lucy.Lang@cmaustralia.org.au</w:t>
                              </w:r>
                            </w:hyperlink>
                            <w:r w:rsidR="00EC005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for more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A65A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0.8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" filled="f" strokeweight=".5pt">
                <v:textbox style="mso-fit-shape-to-text:t">
                  <w:txbxContent>
                    <w:p w14:paraId="7C8E1A00" w14:textId="5343C42D" w:rsidR="00F1186E" w:rsidRPr="00F672AF" w:rsidRDefault="00F1186E" w:rsidP="00F1186E">
                      <w:pPr>
                        <w:spacing w:after="120" w:line="276" w:lineRule="auto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NOTE: </w:t>
                      </w:r>
                      <w:r w:rsidRPr="00F672AF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Fallopia multiflora</w:t>
                      </w:r>
                      <w:r w:rsidRPr="00F672A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(Fo-Ti or He Shou Wu)</w:t>
                      </w:r>
                    </w:p>
                    <w:p w14:paraId="728861CA" w14:textId="69445B23" w:rsidR="00F1186E" w:rsidRPr="006B5B08" w:rsidRDefault="00F1186E" w:rsidP="001370F5">
                      <w:pPr>
                        <w:spacing w:after="120" w:line="276" w:lineRule="auto"/>
                        <w:rPr>
                          <w:rFonts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Changes to </w:t>
                      </w:r>
                      <w:r w:rsidRPr="00F672AF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Fallopia multiflora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are not listed in the below changes. However,</w:t>
                      </w:r>
                      <w:r w:rsidR="0086410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CMA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are aware that the TGA are currently proposing regulatory (safety) actions in relation to all products containing </w:t>
                      </w:r>
                      <w:r w:rsidRPr="00F672AF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Fallopia multiflora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 and that this is</w:t>
                      </w:r>
                      <w:r w:rsidR="00EC0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likely to lead to changes to the 26BB Determination for this ingredient in the near future. If you are currently developing</w:t>
                      </w:r>
                      <w:r w:rsidR="00EC0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or intending to develop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any products with </w:t>
                      </w:r>
                      <w:r w:rsidRPr="00F672AF">
                        <w:rPr>
                          <w:rFonts w:asciiTheme="minorHAnsi" w:hAnsiTheme="minorHAnsi" w:cstheme="minorHAnsi"/>
                          <w:i/>
                          <w:iCs/>
                          <w:sz w:val="22"/>
                          <w:szCs w:val="22"/>
                        </w:rPr>
                        <w:t>Fallopia multiflora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please contact CMA via </w:t>
                      </w:r>
                      <w:hyperlink r:id="rId13" w:history="1">
                        <w:r w:rsidRPr="00571663">
                          <w:rPr>
                            <w:rStyle w:val="Hyperlink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Lucy.Lang@cmaustralia.org.au</w:t>
                        </w:r>
                      </w:hyperlink>
                      <w:r w:rsidR="00EC005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for more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29A7" w:rsidRPr="0018069E">
        <w:rPr>
          <w:rFonts w:asciiTheme="minorHAnsi" w:hAnsiTheme="minorHAnsi" w:cstheme="minorHAnsi"/>
          <w:noProof/>
          <w:sz w:val="22"/>
          <w:szCs w:val="22"/>
        </w:rPr>
        <w:t>This is a reduced regulatory requirement than was previously identified for some ingredients</w:t>
      </w:r>
      <w:r w:rsidR="0018069E" w:rsidRPr="0018069E">
        <w:rPr>
          <w:rFonts w:asciiTheme="minorHAnsi" w:hAnsiTheme="minorHAnsi" w:cstheme="minorHAnsi"/>
          <w:noProof/>
          <w:sz w:val="22"/>
          <w:szCs w:val="22"/>
        </w:rPr>
        <w:t xml:space="preserve"> in the Determination </w:t>
      </w:r>
      <w:r w:rsidR="008029A7" w:rsidRPr="0018069E">
        <w:rPr>
          <w:rFonts w:asciiTheme="minorHAnsi" w:hAnsiTheme="minorHAnsi" w:cstheme="minorHAnsi"/>
          <w:noProof/>
          <w:sz w:val="22"/>
          <w:szCs w:val="22"/>
        </w:rPr>
        <w:t>and may therefore</w:t>
      </w:r>
      <w:r w:rsidR="0018069E" w:rsidRPr="0018069E">
        <w:rPr>
          <w:rFonts w:asciiTheme="minorHAnsi" w:hAnsiTheme="minorHAnsi" w:cstheme="minorHAnsi"/>
          <w:noProof/>
          <w:sz w:val="22"/>
          <w:szCs w:val="22"/>
        </w:rPr>
        <w:t xml:space="preserve"> represent a relaxation of requirements for some medicines.</w:t>
      </w:r>
      <w:r w:rsidR="00326BC0" w:rsidRPr="0018069E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CAF6647" w14:textId="4C5A7A7E" w:rsidR="0055119A" w:rsidRDefault="0055119A" w:rsidP="0055119A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5119A">
        <w:rPr>
          <w:rFonts w:asciiTheme="minorHAnsi" w:hAnsiTheme="minorHAnsi" w:cstheme="minorHAnsi"/>
          <w:b/>
          <w:bCs/>
          <w:sz w:val="22"/>
          <w:szCs w:val="22"/>
        </w:rPr>
        <w:t>Summary of all changes</w:t>
      </w:r>
    </w:p>
    <w:p w14:paraId="3868DE55" w14:textId="77777777" w:rsidR="0055119A" w:rsidRPr="0055119A" w:rsidRDefault="0055119A" w:rsidP="0055119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5119A">
        <w:rPr>
          <w:rFonts w:asciiTheme="minorHAnsi" w:hAnsiTheme="minorHAnsi" w:cstheme="minorHAnsi"/>
          <w:sz w:val="22"/>
          <w:szCs w:val="22"/>
        </w:rPr>
        <w:t>A total of 10 changes have been made in the Determination. The changes include:</w:t>
      </w:r>
    </w:p>
    <w:p w14:paraId="2A262A96" w14:textId="2D8E7DF3" w:rsidR="0055119A" w:rsidRDefault="0055119A" w:rsidP="00326BC0">
      <w:pPr>
        <w:pStyle w:val="ListParagraph"/>
        <w:keepNext/>
        <w:numPr>
          <w:ilvl w:val="0"/>
          <w:numId w:val="39"/>
        </w:numPr>
        <w:spacing w:before="120" w:after="120" w:line="276" w:lineRule="auto"/>
        <w:contextualSpacing/>
        <w:rPr>
          <w:rFonts w:asciiTheme="minorHAnsi" w:hAnsiTheme="minorHAnsi" w:cstheme="minorHAnsi"/>
          <w:sz w:val="20"/>
          <w:szCs w:val="20"/>
        </w:rPr>
      </w:pPr>
      <w:r>
        <w:t xml:space="preserve">the </w:t>
      </w:r>
      <w:r w:rsidRPr="00326BC0">
        <w:rPr>
          <w:rFonts w:eastAsia="Times New Roman"/>
        </w:rPr>
        <w:t>introduction</w:t>
      </w:r>
      <w:r>
        <w:t xml:space="preserve"> of one new ingredient, </w:t>
      </w:r>
      <w:r w:rsidRPr="00423473">
        <w:rPr>
          <w:b/>
          <w:bCs/>
          <w:i/>
          <w:iCs/>
        </w:rPr>
        <w:t>ethyl phenylglycidate</w:t>
      </w:r>
      <w:r>
        <w:t>, for use in listed and assessed listed medicines</w:t>
      </w:r>
      <w:r w:rsidR="00326BC0">
        <w:t xml:space="preserve"> - </w:t>
      </w:r>
      <w:r w:rsidR="00326BC0" w:rsidRPr="00725373">
        <w:rPr>
          <w:rFonts w:asciiTheme="minorHAnsi" w:hAnsiTheme="minorHAnsi" w:cstheme="minorHAnsi"/>
          <w:sz w:val="20"/>
          <w:szCs w:val="20"/>
        </w:rPr>
        <w:t>Ethyl phenylglycidate must only be used in medicines in combination with other permitted ingredients as a fragrance proprietary excipient formulation</w:t>
      </w:r>
      <w:r w:rsidR="00326BC0">
        <w:rPr>
          <w:rFonts w:asciiTheme="minorHAnsi" w:hAnsiTheme="minorHAnsi" w:cstheme="minorHAnsi"/>
          <w:sz w:val="20"/>
          <w:szCs w:val="20"/>
        </w:rPr>
        <w:t xml:space="preserve">; </w:t>
      </w:r>
      <w:r w:rsidR="00326BC0" w:rsidRPr="00326BC0">
        <w:rPr>
          <w:rFonts w:asciiTheme="minorHAnsi" w:hAnsiTheme="minorHAnsi" w:cstheme="minorHAnsi"/>
          <w:sz w:val="20"/>
          <w:szCs w:val="20"/>
        </w:rPr>
        <w:t>The concentration of ethyl phenylglycidate in a medicine must not be more than 0.0000024% w/w (equivalent to 24 parts per billion).</w:t>
      </w:r>
    </w:p>
    <w:p w14:paraId="038C085B" w14:textId="77777777" w:rsidR="00326BC0" w:rsidRPr="00326BC0" w:rsidRDefault="00326BC0" w:rsidP="00326BC0">
      <w:pPr>
        <w:pStyle w:val="ListParagraph"/>
        <w:keepNext/>
        <w:spacing w:before="120" w:after="12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153C8FD1" w14:textId="7CC17CED" w:rsidR="0055119A" w:rsidRPr="0055119A" w:rsidRDefault="00326BC0" w:rsidP="0055119A">
      <w:pPr>
        <w:pStyle w:val="ListParagraph"/>
        <w:keepNext/>
        <w:numPr>
          <w:ilvl w:val="0"/>
          <w:numId w:val="39"/>
        </w:numPr>
        <w:spacing w:before="120"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M</w:t>
      </w:r>
      <w:r w:rsidR="0055119A" w:rsidRPr="0055119A">
        <w:rPr>
          <w:rFonts w:eastAsia="Times New Roman"/>
        </w:rPr>
        <w:t>inor amendments in relation to three ingredients to ensure greater consistency with the Poisons Standard:</w:t>
      </w:r>
    </w:p>
    <w:p w14:paraId="4F65F7CD" w14:textId="77777777" w:rsidR="0055119A" w:rsidRPr="00423473" w:rsidRDefault="0055119A" w:rsidP="0055119A">
      <w:pPr>
        <w:pStyle w:val="ListParagraph"/>
        <w:keepNext/>
        <w:numPr>
          <w:ilvl w:val="1"/>
          <w:numId w:val="38"/>
        </w:numPr>
        <w:spacing w:before="120" w:after="120" w:line="276" w:lineRule="auto"/>
        <w:contextualSpacing/>
        <w:rPr>
          <w:rFonts w:eastAsia="Times New Roman"/>
          <w:b/>
          <w:bCs/>
        </w:rPr>
      </w:pPr>
      <w:r w:rsidRPr="00423473">
        <w:rPr>
          <w:rFonts w:eastAsia="Times New Roman"/>
          <w:b/>
          <w:bCs/>
          <w:i/>
          <w:iCs/>
        </w:rPr>
        <w:t>Euphorbia lathyris</w:t>
      </w:r>
      <w:r w:rsidRPr="00423473">
        <w:rPr>
          <w:rFonts w:eastAsia="Times New Roman"/>
          <w:b/>
          <w:bCs/>
        </w:rPr>
        <w:t>;</w:t>
      </w:r>
    </w:p>
    <w:p w14:paraId="15E05A21" w14:textId="77777777" w:rsidR="0055119A" w:rsidRPr="00423473" w:rsidRDefault="0055119A" w:rsidP="0055119A">
      <w:pPr>
        <w:pStyle w:val="ListParagraph"/>
        <w:keepNext/>
        <w:numPr>
          <w:ilvl w:val="1"/>
          <w:numId w:val="38"/>
        </w:numPr>
        <w:spacing w:before="120" w:after="120" w:line="276" w:lineRule="auto"/>
        <w:contextualSpacing/>
        <w:rPr>
          <w:rFonts w:eastAsia="Times New Roman"/>
          <w:b/>
          <w:bCs/>
        </w:rPr>
      </w:pPr>
      <w:r w:rsidRPr="00423473">
        <w:rPr>
          <w:rFonts w:eastAsia="Times New Roman"/>
          <w:b/>
          <w:bCs/>
          <w:i/>
          <w:iCs/>
        </w:rPr>
        <w:t>Mucuna pruriens</w:t>
      </w:r>
      <w:r w:rsidRPr="00423473">
        <w:rPr>
          <w:rFonts w:eastAsia="Times New Roman"/>
          <w:b/>
          <w:bCs/>
        </w:rPr>
        <w:t>; and</w:t>
      </w:r>
    </w:p>
    <w:p w14:paraId="5AEE519E" w14:textId="77777777" w:rsidR="0055119A" w:rsidRDefault="0055119A" w:rsidP="0055119A">
      <w:pPr>
        <w:pStyle w:val="ListParagraph"/>
        <w:numPr>
          <w:ilvl w:val="1"/>
          <w:numId w:val="38"/>
        </w:numPr>
        <w:spacing w:before="120" w:after="120" w:line="276" w:lineRule="auto"/>
        <w:ind w:left="1434" w:hanging="357"/>
        <w:contextualSpacing/>
        <w:rPr>
          <w:rFonts w:eastAsiaTheme="minorHAnsi"/>
        </w:rPr>
      </w:pPr>
      <w:r w:rsidRPr="00423473">
        <w:rPr>
          <w:b/>
          <w:bCs/>
          <w:i/>
          <w:iCs/>
        </w:rPr>
        <w:t>Vicia faba</w:t>
      </w:r>
      <w:r>
        <w:t>;</w:t>
      </w:r>
    </w:p>
    <w:p w14:paraId="03BE0BFE" w14:textId="20C84910" w:rsidR="0055119A" w:rsidRDefault="00326BC0" w:rsidP="0055119A">
      <w:pPr>
        <w:pStyle w:val="ListParagraph"/>
        <w:numPr>
          <w:ilvl w:val="0"/>
          <w:numId w:val="39"/>
        </w:numPr>
        <w:spacing w:before="120" w:after="120" w:line="276" w:lineRule="auto"/>
        <w:contextualSpacing/>
      </w:pPr>
      <w:r>
        <w:t>Re</w:t>
      </w:r>
      <w:r w:rsidR="0055119A">
        <w:t xml:space="preserve">flecting the advice of the Complementary Medicines Evaluation Committee in relation to the correction of an inadvertent error in the applicable requirements for the ingredient </w:t>
      </w:r>
      <w:r w:rsidR="0055119A" w:rsidRPr="00423473">
        <w:rPr>
          <w:b/>
          <w:bCs/>
          <w:i/>
          <w:iCs/>
        </w:rPr>
        <w:t>Citrullus colocynthis</w:t>
      </w:r>
      <w:r w:rsidR="0055119A">
        <w:t>;</w:t>
      </w:r>
    </w:p>
    <w:p w14:paraId="3FE1B9CE" w14:textId="77777777" w:rsidR="00016A50" w:rsidRDefault="00016A50" w:rsidP="00016A50">
      <w:pPr>
        <w:pStyle w:val="ListParagraph"/>
        <w:spacing w:before="120" w:after="120" w:line="276" w:lineRule="auto"/>
        <w:contextualSpacing/>
      </w:pPr>
    </w:p>
    <w:p w14:paraId="2CDED0D6" w14:textId="3FCC4A6B" w:rsidR="0055119A" w:rsidRPr="0055119A" w:rsidRDefault="00326BC0" w:rsidP="0055119A">
      <w:pPr>
        <w:pStyle w:val="ListParagraph"/>
        <w:keepNext/>
        <w:numPr>
          <w:ilvl w:val="0"/>
          <w:numId w:val="39"/>
        </w:numPr>
        <w:spacing w:before="120"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T</w:t>
      </w:r>
      <w:r w:rsidR="0055119A" w:rsidRPr="0055119A">
        <w:rPr>
          <w:rFonts w:eastAsia="Times New Roman"/>
        </w:rPr>
        <w:t xml:space="preserve">he removal of requirements for </w:t>
      </w:r>
    </w:p>
    <w:p w14:paraId="7AFE791B" w14:textId="77777777" w:rsidR="0055119A" w:rsidRDefault="0055119A" w:rsidP="0055119A">
      <w:pPr>
        <w:pStyle w:val="ListParagraph"/>
        <w:keepNext/>
        <w:numPr>
          <w:ilvl w:val="1"/>
          <w:numId w:val="38"/>
        </w:numPr>
        <w:spacing w:before="120" w:after="120" w:line="276" w:lineRule="auto"/>
        <w:contextualSpacing/>
        <w:rPr>
          <w:rFonts w:eastAsia="Times New Roman"/>
        </w:rPr>
      </w:pPr>
      <w:r w:rsidRPr="00423473">
        <w:rPr>
          <w:rFonts w:eastAsia="Times New Roman"/>
          <w:b/>
          <w:bCs/>
          <w:i/>
          <w:iCs/>
        </w:rPr>
        <w:t>Carapichea ipecacuanha</w:t>
      </w:r>
      <w:r>
        <w:rPr>
          <w:rFonts w:eastAsia="Times New Roman"/>
        </w:rPr>
        <w:t xml:space="preserve">, to avoid duplication for this ingredient with applicable requirements for medicines containing this ingredient that apply under the </w:t>
      </w:r>
      <w:r>
        <w:rPr>
          <w:rFonts w:eastAsia="Times New Roman"/>
          <w:i/>
          <w:iCs/>
        </w:rPr>
        <w:t>Therapeutic Goods Order No. 95 - Child-resistant packaging requirements for medicines 2017</w:t>
      </w:r>
      <w:r>
        <w:rPr>
          <w:rFonts w:eastAsia="Times New Roman"/>
        </w:rPr>
        <w:t xml:space="preserve"> (TGO 95); and</w:t>
      </w:r>
    </w:p>
    <w:p w14:paraId="0F78F912" w14:textId="77777777" w:rsidR="0055119A" w:rsidRPr="00016A50" w:rsidRDefault="0055119A" w:rsidP="0055119A">
      <w:pPr>
        <w:pStyle w:val="ListParagraph"/>
        <w:numPr>
          <w:ilvl w:val="1"/>
          <w:numId w:val="38"/>
        </w:numPr>
        <w:spacing w:before="120" w:after="120" w:line="276" w:lineRule="auto"/>
        <w:ind w:left="1434" w:hanging="357"/>
        <w:contextualSpacing/>
        <w:rPr>
          <w:rFonts w:eastAsiaTheme="minorHAnsi"/>
        </w:rPr>
      </w:pPr>
      <w:r w:rsidRPr="00423473">
        <w:rPr>
          <w:b/>
          <w:bCs/>
          <w:i/>
          <w:iCs/>
        </w:rPr>
        <w:t>Fraxinus excelsior</w:t>
      </w:r>
      <w:r>
        <w:t xml:space="preserve"> and </w:t>
      </w:r>
      <w:r w:rsidRPr="00423473">
        <w:rPr>
          <w:b/>
          <w:bCs/>
          <w:i/>
          <w:iCs/>
        </w:rPr>
        <w:t>Perilla frutescens</w:t>
      </w:r>
      <w:r>
        <w:t xml:space="preserve"> to reflect that the TGA no longer evaluates or allocates names for chemical constituents that can be used as therapeutic or quality markers in herbal ingredients;</w:t>
      </w:r>
    </w:p>
    <w:p w14:paraId="4AB7E813" w14:textId="77777777" w:rsidR="00016A50" w:rsidRDefault="00016A50" w:rsidP="00016A50">
      <w:pPr>
        <w:pStyle w:val="ListParagraph"/>
        <w:spacing w:before="120" w:after="120" w:line="276" w:lineRule="auto"/>
        <w:ind w:left="1434"/>
        <w:contextualSpacing/>
        <w:rPr>
          <w:rFonts w:eastAsiaTheme="minorHAnsi"/>
        </w:rPr>
      </w:pPr>
    </w:p>
    <w:p w14:paraId="2EF7EF8C" w14:textId="5BA52988" w:rsidR="0055119A" w:rsidRPr="00016A50" w:rsidRDefault="00326BC0" w:rsidP="0055119A">
      <w:pPr>
        <w:pStyle w:val="ListParagraph"/>
        <w:numPr>
          <w:ilvl w:val="0"/>
          <w:numId w:val="39"/>
        </w:numPr>
        <w:spacing w:before="120" w:after="120" w:line="276" w:lineRule="auto"/>
        <w:contextualSpacing/>
        <w:rPr>
          <w:rFonts w:eastAsia="Times New Roman"/>
          <w:i/>
          <w:iCs/>
        </w:rPr>
      </w:pPr>
      <w:r>
        <w:rPr>
          <w:rFonts w:eastAsia="Times New Roman"/>
        </w:rPr>
        <w:t>U</w:t>
      </w:r>
      <w:r w:rsidR="0055119A" w:rsidRPr="0055119A">
        <w:rPr>
          <w:rFonts w:eastAsia="Times New Roman"/>
        </w:rPr>
        <w:t xml:space="preserve">pdating the name of the ingredient </w:t>
      </w:r>
      <w:r w:rsidR="0055119A" w:rsidRPr="00DF3BF2">
        <w:rPr>
          <w:rFonts w:eastAsia="Times New Roman"/>
          <w:b/>
          <w:bCs/>
          <w:i/>
          <w:iCs/>
        </w:rPr>
        <w:t>Juniperus mexicana</w:t>
      </w:r>
      <w:r w:rsidR="0055119A" w:rsidRPr="0055119A">
        <w:rPr>
          <w:rFonts w:eastAsia="Times New Roman"/>
          <w:i/>
          <w:iCs/>
        </w:rPr>
        <w:t xml:space="preserve"> </w:t>
      </w:r>
      <w:r w:rsidR="0055119A" w:rsidRPr="0055119A">
        <w:rPr>
          <w:rFonts w:eastAsia="Times New Roman"/>
        </w:rPr>
        <w:t xml:space="preserve">to the amended Australian Approved Name </w:t>
      </w:r>
      <w:r w:rsidR="0055119A" w:rsidRPr="00DF3BF2">
        <w:rPr>
          <w:rFonts w:eastAsia="Times New Roman"/>
          <w:b/>
          <w:bCs/>
          <w:i/>
          <w:iCs/>
        </w:rPr>
        <w:t>Juniperus deppeana</w:t>
      </w:r>
      <w:r w:rsidR="0055119A" w:rsidRPr="0055119A">
        <w:rPr>
          <w:rFonts w:eastAsia="Times New Roman"/>
        </w:rPr>
        <w:t>; and</w:t>
      </w:r>
    </w:p>
    <w:p w14:paraId="4B74EE06" w14:textId="77777777" w:rsidR="00016A50" w:rsidRPr="0055119A" w:rsidRDefault="00016A50" w:rsidP="00016A50">
      <w:pPr>
        <w:pStyle w:val="ListParagraph"/>
        <w:spacing w:before="120" w:after="120" w:line="276" w:lineRule="auto"/>
        <w:contextualSpacing/>
        <w:rPr>
          <w:rFonts w:eastAsia="Times New Roman"/>
          <w:i/>
          <w:iCs/>
        </w:rPr>
      </w:pPr>
    </w:p>
    <w:p w14:paraId="78AD96B0" w14:textId="187E9D05" w:rsidR="0055119A" w:rsidRPr="0055119A" w:rsidRDefault="00326BC0" w:rsidP="0055119A">
      <w:pPr>
        <w:pStyle w:val="ListParagraph"/>
        <w:numPr>
          <w:ilvl w:val="0"/>
          <w:numId w:val="39"/>
        </w:numPr>
        <w:spacing w:before="120" w:after="120" w:line="276" w:lineRule="auto"/>
        <w:contextualSpacing/>
        <w:rPr>
          <w:rFonts w:eastAsia="Times New Roman"/>
        </w:rPr>
      </w:pPr>
      <w:r>
        <w:rPr>
          <w:rFonts w:eastAsia="Times New Roman"/>
        </w:rPr>
        <w:t>T</w:t>
      </w:r>
      <w:r w:rsidR="0055119A" w:rsidRPr="0055119A">
        <w:rPr>
          <w:rFonts w:eastAsia="Times New Roman"/>
        </w:rPr>
        <w:t>he removal of the ingredient ‘</w:t>
      </w:r>
      <w:r w:rsidR="0055119A" w:rsidRPr="00DF3BF2">
        <w:rPr>
          <w:rFonts w:eastAsia="Times New Roman"/>
          <w:b/>
          <w:bCs/>
        </w:rPr>
        <w:t>guaiacwood acetate’</w:t>
      </w:r>
      <w:r w:rsidR="0055119A" w:rsidRPr="0055119A">
        <w:rPr>
          <w:rFonts w:eastAsia="Times New Roman"/>
        </w:rPr>
        <w:t>, as it is a synonym of the existing ingredient ‘</w:t>
      </w:r>
      <w:r w:rsidR="0055119A" w:rsidRPr="00DF3BF2">
        <w:rPr>
          <w:rFonts w:eastAsia="Times New Roman"/>
          <w:b/>
          <w:bCs/>
        </w:rPr>
        <w:t>guaiyl acetate’</w:t>
      </w:r>
      <w:r w:rsidR="0055119A" w:rsidRPr="0055119A">
        <w:rPr>
          <w:rFonts w:eastAsia="Times New Roman"/>
        </w:rPr>
        <w:t>.</w:t>
      </w:r>
    </w:p>
    <w:p w14:paraId="20449625" w14:textId="77777777" w:rsidR="00016A50" w:rsidRDefault="00016A50" w:rsidP="0055119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7095EFC1" w14:textId="5FDC44B4" w:rsidR="009E788B" w:rsidRDefault="0055119A" w:rsidP="0055119A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9E788B" w:rsidSect="00B20B9C">
          <w:headerReference w:type="default" r:id="rId14"/>
          <w:footerReference w:type="default" r:id="rId15"/>
          <w:pgSz w:w="11906" w:h="16838"/>
          <w:pgMar w:top="1440" w:right="1274" w:bottom="1440" w:left="1440" w:header="708" w:footer="708" w:gutter="0"/>
          <w:cols w:space="708"/>
          <w:docGrid w:linePitch="360"/>
        </w:sectPr>
      </w:pPr>
      <w:r w:rsidRPr="0055119A">
        <w:rPr>
          <w:rFonts w:asciiTheme="minorHAnsi" w:hAnsiTheme="minorHAnsi" w:cstheme="minorHAnsi"/>
          <w:sz w:val="22"/>
          <w:szCs w:val="22"/>
        </w:rPr>
        <w:t xml:space="preserve">Members are encouraged to forward any identified issues to </w:t>
      </w:r>
      <w:hyperlink r:id="rId16" w:history="1">
        <w:r w:rsidRPr="008C602B">
          <w:rPr>
            <w:rStyle w:val="Hyperlink"/>
            <w:rFonts w:asciiTheme="minorHAnsi" w:hAnsiTheme="minorHAnsi" w:cstheme="minorHAnsi"/>
            <w:sz w:val="22"/>
            <w:szCs w:val="22"/>
          </w:rPr>
          <w:t>technical@cmaustralia.org.au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Style w:val="TableTGAblue"/>
        <w:tblW w:w="1545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2836"/>
        <w:gridCol w:w="1004"/>
        <w:gridCol w:w="1405"/>
        <w:gridCol w:w="993"/>
        <w:gridCol w:w="992"/>
        <w:gridCol w:w="2268"/>
        <w:gridCol w:w="2693"/>
        <w:gridCol w:w="3259"/>
      </w:tblGrid>
      <w:tr w:rsidR="00725373" w14:paraId="40536730" w14:textId="77777777" w:rsidTr="007253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2836" w:type="dxa"/>
            <w:shd w:val="clear" w:color="auto" w:fill="BFBFBF" w:themeFill="background1" w:themeFillShade="BF"/>
            <w:hideMark/>
          </w:tcPr>
          <w:p w14:paraId="35A10C67" w14:textId="77777777" w:rsidR="009E788B" w:rsidRDefault="009E78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Hlk41656717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Ingredient name</w:t>
            </w:r>
          </w:p>
        </w:tc>
        <w:tc>
          <w:tcPr>
            <w:tcW w:w="1004" w:type="dxa"/>
            <w:shd w:val="clear" w:color="auto" w:fill="BFBFBF" w:themeFill="background1" w:themeFillShade="BF"/>
            <w:hideMark/>
          </w:tcPr>
          <w:p w14:paraId="7E659FEF" w14:textId="77777777" w:rsidR="009E788B" w:rsidRDefault="009E78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Change type</w:t>
            </w:r>
          </w:p>
        </w:tc>
        <w:tc>
          <w:tcPr>
            <w:tcW w:w="1405" w:type="dxa"/>
            <w:shd w:val="clear" w:color="auto" w:fill="BFBFBF" w:themeFill="background1" w:themeFillShade="BF"/>
            <w:hideMark/>
          </w:tcPr>
          <w:p w14:paraId="1BB58FD5" w14:textId="77777777" w:rsidR="009E788B" w:rsidRDefault="009E78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Change reason</w:t>
            </w:r>
          </w:p>
        </w:tc>
        <w:tc>
          <w:tcPr>
            <w:tcW w:w="993" w:type="dxa"/>
            <w:shd w:val="clear" w:color="auto" w:fill="BFBFBF" w:themeFill="background1" w:themeFillShade="BF"/>
            <w:hideMark/>
          </w:tcPr>
          <w:p w14:paraId="1F5BA989" w14:textId="62E1802E" w:rsidR="009E788B" w:rsidRDefault="007253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Prior</w:t>
            </w:r>
            <w:r w:rsidR="009E78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purpose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14:paraId="1A83A75E" w14:textId="77777777" w:rsidR="009E788B" w:rsidRDefault="009E78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New purpose</w:t>
            </w:r>
          </w:p>
        </w:tc>
        <w:tc>
          <w:tcPr>
            <w:tcW w:w="2268" w:type="dxa"/>
            <w:shd w:val="clear" w:color="auto" w:fill="BFBFBF" w:themeFill="background1" w:themeFillShade="BF"/>
            <w:hideMark/>
          </w:tcPr>
          <w:p w14:paraId="47B87646" w14:textId="2179040C" w:rsidR="009E788B" w:rsidRDefault="0072537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Prior</w:t>
            </w:r>
            <w:r w:rsidR="009E788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requirements</w:t>
            </w:r>
          </w:p>
        </w:tc>
        <w:tc>
          <w:tcPr>
            <w:tcW w:w="2693" w:type="dxa"/>
            <w:shd w:val="clear" w:color="auto" w:fill="BFBFBF" w:themeFill="background1" w:themeFillShade="BF"/>
            <w:hideMark/>
          </w:tcPr>
          <w:p w14:paraId="0A9E2CF5" w14:textId="77777777" w:rsidR="009E788B" w:rsidRDefault="009E78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New requirements</w:t>
            </w:r>
          </w:p>
        </w:tc>
        <w:tc>
          <w:tcPr>
            <w:tcW w:w="3259" w:type="dxa"/>
            <w:shd w:val="clear" w:color="auto" w:fill="BFBFBF" w:themeFill="background1" w:themeFillShade="BF"/>
            <w:hideMark/>
          </w:tcPr>
          <w:p w14:paraId="712F5817" w14:textId="6A386B32" w:rsidR="009E788B" w:rsidRDefault="009E788B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Sponsor</w:t>
            </w:r>
            <w:r w:rsidR="00881D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notes</w:t>
            </w:r>
          </w:p>
        </w:tc>
      </w:tr>
      <w:tr w:rsidR="00725373" w14:paraId="3CDF1A0E" w14:textId="77777777" w:rsidTr="00725373"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AAA6797" w14:textId="051CFC42" w:rsidR="009E788B" w:rsidRDefault="009E788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E788B">
              <w:rPr>
                <w:rFonts w:asciiTheme="minorHAnsi" w:hAnsiTheme="minorHAnsi" w:cstheme="minorHAnsi"/>
                <w:sz w:val="20"/>
                <w:szCs w:val="20"/>
              </w:rPr>
              <w:t>CARAPICHEA IPECACUANHA</w:t>
            </w: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5654ECD0" w14:textId="022D2489" w:rsidR="009E788B" w:rsidRDefault="00725373">
            <w:pPr>
              <w:spacing w:after="0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</w:p>
        </w:tc>
        <w:tc>
          <w:tcPr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30DC30E" w14:textId="440E3204" w:rsidR="009E788B" w:rsidRDefault="00725373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Clarification of requirements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009B3F" w14:textId="55C47FD7" w:rsidR="009E788B" w:rsidRDefault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A, H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C508B57" w14:textId="3C54D331" w:rsidR="009E788B" w:rsidRDefault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A, H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7A13C8" w14:textId="77777777" w:rsidR="00725373" w:rsidRPr="00EF655F" w:rsidRDefault="00725373" w:rsidP="00536780">
            <w:pPr>
              <w:spacing w:before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Emetine is a mandatory component of Carapichea ipecacuanha.</w:t>
            </w:r>
          </w:p>
          <w:p w14:paraId="5D55D66B" w14:textId="77777777" w:rsidR="00725373" w:rsidRPr="00EF655F" w:rsidRDefault="00725373" w:rsidP="0072537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The concentration of emetine in the medicine must be no more than 0.2%.</w:t>
            </w:r>
          </w:p>
          <w:p w14:paraId="78FE5F12" w14:textId="410F9CE4" w:rsidR="009E788B" w:rsidRPr="00EF655F" w:rsidRDefault="00725373" w:rsidP="0072537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Except when used in a medicine containing only homoeopathic preparations, a child resistant closure must be fitted onto the container.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733EA226" w14:textId="77777777" w:rsidR="00725373" w:rsidRPr="00725373" w:rsidRDefault="00725373" w:rsidP="00725373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 xml:space="preserve">Emetine is a mandatory component of Carapichea ipecacuanha. </w:t>
            </w:r>
          </w:p>
          <w:p w14:paraId="6EEB6560" w14:textId="44DF789A" w:rsidR="009E788B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The concentration of emetine in the medicine must not be more than 0.2%.</w:t>
            </w:r>
          </w:p>
        </w:tc>
        <w:tc>
          <w:tcPr>
            <w:tcW w:w="32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9CFE92" w14:textId="77777777" w:rsidR="009E788B" w:rsidRDefault="009E7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373" w14:paraId="51ED0C2F" w14:textId="77777777" w:rsidTr="00725373"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F75DF5" w14:textId="6A371350" w:rsidR="009E788B" w:rsidRDefault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CHANGE OF NAME FROM JUNIPERUS MEXICANA TO JUNIPERUS DEPPEANA</w:t>
            </w: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DC55CD" w14:textId="7E8EBCB4" w:rsidR="009E788B" w:rsidRDefault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</w:p>
        </w:tc>
        <w:tc>
          <w:tcPr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44C1F" w14:textId="4A42BDDF" w:rsidR="009E788B" w:rsidRDefault="00725373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Update to ingredient name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79395F" w14:textId="33A3B27D" w:rsidR="009E788B" w:rsidRDefault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9AD1DF" w14:textId="7FFF4E48" w:rsidR="009E788B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F1D1CE" w14:textId="77777777" w:rsidR="00725373" w:rsidRPr="00EF655F" w:rsidRDefault="00725373" w:rsidP="00536780">
            <w:pPr>
              <w:spacing w:after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Permitted for use only in combination with other permitted ingredients as a fragrance.</w:t>
            </w:r>
          </w:p>
          <w:p w14:paraId="1A72221E" w14:textId="050A880B" w:rsidR="009E788B" w:rsidRPr="00EF655F" w:rsidRDefault="00725373" w:rsidP="0072537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If used in a fragrance the total fragrance concentration in a medicine must be no more than 1%.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517F2D" w14:textId="77777777" w:rsidR="00725373" w:rsidRPr="00725373" w:rsidRDefault="00725373" w:rsidP="00725373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Permitted for use only in combination with other permitted ingredients as a fragrance.</w:t>
            </w:r>
          </w:p>
          <w:p w14:paraId="662EC5FF" w14:textId="0A889D12" w:rsidR="009E788B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If used in a fragrance the total fragrance concentration in a medicine must be no more than 1%.</w:t>
            </w:r>
          </w:p>
        </w:tc>
        <w:tc>
          <w:tcPr>
            <w:tcW w:w="32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B6EBA47" w14:textId="77777777" w:rsidR="009E788B" w:rsidRDefault="009E7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373" w14:paraId="07AB8A64" w14:textId="77777777" w:rsidTr="00725373"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F9517A" w14:textId="37D07207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CITRULLUS COLOCYNTHIS</w:t>
            </w: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B7661A" w14:textId="087C4456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</w:p>
        </w:tc>
        <w:tc>
          <w:tcPr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D4B071" w14:textId="22563B96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Clarification of requirements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8818CFC" w14:textId="5E05AF21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D0A604A" w14:textId="1B1C783B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2E3503" w14:textId="77777777" w:rsidR="00725373" w:rsidRPr="00EF655F" w:rsidRDefault="00725373" w:rsidP="00536780">
            <w:pPr>
              <w:spacing w:before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Only for use as an active homoeopathic ingredient.</w:t>
            </w:r>
          </w:p>
          <w:p w14:paraId="621CA7F6" w14:textId="65B4A408" w:rsidR="00725373" w:rsidRPr="00EF655F" w:rsidRDefault="00725373" w:rsidP="0072537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When for oral use, the concentration of Citrullus colocynthis must be more than 4X (i.e. 1X 2X 3X).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5F2FE9C" w14:textId="5477816D" w:rsidR="00725373" w:rsidRDefault="00725373" w:rsidP="00725373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Citrullus colocynthis can only be included in medicines for oral use when the dilution of the mother tincture is 10,000 fold (4X) or more.</w:t>
            </w:r>
          </w:p>
        </w:tc>
        <w:tc>
          <w:tcPr>
            <w:tcW w:w="32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1E68E8" w14:textId="77777777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373" w14:paraId="2E7E17E4" w14:textId="77777777" w:rsidTr="00725373"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E8C66A" w14:textId="7E9AEA7A" w:rsidR="009E788B" w:rsidRDefault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ETHYL PHENYLGLYCIDATE</w:t>
            </w: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10B12B" w14:textId="75911EF0" w:rsidR="009E788B" w:rsidRDefault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Addition </w:t>
            </w:r>
          </w:p>
        </w:tc>
        <w:tc>
          <w:tcPr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E697E3D" w14:textId="331C7F53" w:rsidR="009E788B" w:rsidRDefault="00725373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Clarification of requirements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1CA5CE" w14:textId="77777777" w:rsidR="009E788B" w:rsidRDefault="009E7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1199CB" w14:textId="674D52C4" w:rsidR="009E788B" w:rsidRDefault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C45BEEF" w14:textId="5C0922F5" w:rsidR="009E788B" w:rsidRPr="00EF655F" w:rsidRDefault="00725373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N/A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C3E08EA" w14:textId="77777777" w:rsidR="00725373" w:rsidRPr="00725373" w:rsidRDefault="00725373" w:rsidP="00725373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Ethyl phenylglycidate must only be used in medicines in combination with other permitted ingredients as a fragrance proprietary excipient formulation.</w:t>
            </w:r>
          </w:p>
          <w:p w14:paraId="7B794910" w14:textId="72E8EAE5" w:rsidR="009E788B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The concentration of ethyl phenylglycidate in a medicine must not be more than 0.0000024% w/w (equivalent to 24 parts per billion).</w:t>
            </w:r>
          </w:p>
        </w:tc>
        <w:tc>
          <w:tcPr>
            <w:tcW w:w="32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6F4F594" w14:textId="77777777" w:rsidR="009E788B" w:rsidRDefault="009E7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373" w14:paraId="2FBB6A6F" w14:textId="77777777" w:rsidTr="00725373"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6759AC" w14:textId="770D08F3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EUPHORBIA LATHYRIS</w:t>
            </w: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E7FF24" w14:textId="6CCA4D11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</w:p>
        </w:tc>
        <w:tc>
          <w:tcPr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33D1E2" w14:textId="27FB6AEE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Clarification of requirements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07A1B7" w14:textId="7C08CA8D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A, H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D3E8C8" w14:textId="1CD96547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0344D72" w14:textId="77777777" w:rsidR="00536780" w:rsidRPr="00EF655F" w:rsidRDefault="00536780" w:rsidP="00536780">
            <w:pPr>
              <w:spacing w:before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Levodopa (of Euphorbia lathyris) is a mandatory component of Euphorbia lathyris.</w:t>
            </w:r>
          </w:p>
          <w:p w14:paraId="769631DF" w14:textId="118BCFC1" w:rsidR="00725373" w:rsidRPr="00EF655F" w:rsidRDefault="00536780" w:rsidP="00536780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The concentration of Levodopa (of Euphorbia lathyris) in the medicine must be no more than 10mg/kg or 10mg/L or 0.001%.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D1E96D" w14:textId="77777777" w:rsidR="00725373" w:rsidRPr="00725373" w:rsidRDefault="00725373" w:rsidP="00725373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Levodopa is a mandatory component of Euphorbia lathyris.</w:t>
            </w:r>
          </w:p>
          <w:p w14:paraId="3FD5FDC8" w14:textId="37F4D1E4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</w:rPr>
              <w:t>The concentration of levodopa in the medicine must not be more than 10 mg/kg or 10 mg/L or 0.001%.</w:t>
            </w:r>
          </w:p>
        </w:tc>
        <w:tc>
          <w:tcPr>
            <w:tcW w:w="32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75A804" w14:textId="77777777" w:rsidR="00725373" w:rsidRDefault="00725373" w:rsidP="0072537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6780" w14:paraId="5B5CF96F" w14:textId="77777777" w:rsidTr="00725373"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EEFB04" w14:textId="79E603AD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FRAXINUS EXCELSIOR</w:t>
            </w: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0A85D" w14:textId="734C2FDF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</w:p>
        </w:tc>
        <w:tc>
          <w:tcPr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E7BE70" w14:textId="4CD561AA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Clarification of requirements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81D9E7" w14:textId="66E66874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A, H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915FA3" w14:textId="30422134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A, H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0EDF8F" w14:textId="77777777" w:rsidR="00536780" w:rsidRPr="00EF655F" w:rsidRDefault="00536780" w:rsidP="00536780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205FE3B" w14:textId="6CB696A7" w:rsidR="00536780" w:rsidRDefault="00536780" w:rsidP="0053678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The components Nuzhenide and secoiridoid glucoside GL3 are only available when the plant part is seed</w:t>
            </w:r>
          </w:p>
        </w:tc>
        <w:tc>
          <w:tcPr>
            <w:tcW w:w="32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F6DBDA" w14:textId="77777777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25373" w14:paraId="23104060" w14:textId="77777777" w:rsidTr="00725373"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8D9FCDB" w14:textId="07DAE854" w:rsidR="009E788B" w:rsidRDefault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GUAIACWOOD ACETATE</w:t>
            </w: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C615C0" w14:textId="480275C3" w:rsidR="009E788B" w:rsidRDefault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Removal</w:t>
            </w:r>
          </w:p>
        </w:tc>
        <w:tc>
          <w:tcPr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3D6FCC" w14:textId="69D8AD38" w:rsidR="009E788B" w:rsidRDefault="00536780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Removal of redundant ingredient name (synonym)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F6A120" w14:textId="387A1EFA" w:rsidR="009E788B" w:rsidRDefault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90356C" w14:textId="7E618282" w:rsidR="009E788B" w:rsidRDefault="009E7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E0A160E" w14:textId="0C6D7882" w:rsidR="00536780" w:rsidRPr="00EF655F" w:rsidRDefault="00536780" w:rsidP="00536780">
            <w:pPr>
              <w:spacing w:before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Permitted for use only in combination with other permitted ingredients as a flavour or a fragrance.</w:t>
            </w:r>
          </w:p>
          <w:p w14:paraId="0383AD08" w14:textId="5EB4CEF1" w:rsidR="00536780" w:rsidRPr="00EF655F" w:rsidRDefault="00536780" w:rsidP="00536780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If used in a flavour the total flavour concentration in a medicine must be no more than 5%.</w:t>
            </w:r>
          </w:p>
          <w:p w14:paraId="0D5E4030" w14:textId="6D91C633" w:rsidR="009E788B" w:rsidRPr="00EF655F" w:rsidRDefault="00536780" w:rsidP="00536780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If used in a fragrance the total fragrance concentration in a medicine must be no more than 1%.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86B233A" w14:textId="0F95BC32" w:rsidR="009E788B" w:rsidRDefault="009E7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1332B49" w14:textId="77777777" w:rsidR="009E788B" w:rsidRDefault="009E78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6780" w14:paraId="60DBDD9F" w14:textId="77777777" w:rsidTr="00725373"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8266D6" w14:textId="1115B17D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MUCUNA PRURIENS</w:t>
            </w: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AFFB6B" w14:textId="1EAEE578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</w:p>
        </w:tc>
        <w:tc>
          <w:tcPr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4D0798" w14:textId="36A5F0DB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Clarification of requirements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29363F" w14:textId="1F3057A1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A, H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12FB9C" w14:textId="647F57D8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8E4048E" w14:textId="77777777" w:rsidR="00536780" w:rsidRPr="00EF655F" w:rsidRDefault="00536780" w:rsidP="00536780">
            <w:pPr>
              <w:spacing w:before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Levodopa (of Mucuna pruriens) is a mandatory component of Mucuna pruriens.</w:t>
            </w:r>
          </w:p>
          <w:p w14:paraId="354B58A7" w14:textId="6E8F8A7C" w:rsidR="00536780" w:rsidRPr="00EF655F" w:rsidRDefault="00536780" w:rsidP="00536780">
            <w:pPr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The concentration of Levodopa (of Mucuna pruriens) in the medicine must be no more than 1mg/kg or 1mg/L or 0.1%.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EEAAD0C" w14:textId="77777777" w:rsidR="00536780" w:rsidRPr="00536780" w:rsidRDefault="00536780" w:rsidP="0053678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Levodopa is a mandatory component of Mucuna pruriens.</w:t>
            </w:r>
          </w:p>
          <w:p w14:paraId="36CA0A55" w14:textId="0BFDA7F7" w:rsidR="00536780" w:rsidRPr="00536780" w:rsidRDefault="00536780" w:rsidP="0053678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The concentration of levodopa in the medicine must not be more than 10 mg/kg or 10 mg/L or 0.001%.</w:t>
            </w:r>
          </w:p>
        </w:tc>
        <w:tc>
          <w:tcPr>
            <w:tcW w:w="32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FFB2588" w14:textId="77777777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6780" w14:paraId="7A4E80A2" w14:textId="77777777" w:rsidTr="00725373"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D2097B" w14:textId="6BE76D85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PERILLA FRUTESCENS</w:t>
            </w: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C2A307" w14:textId="7EEB6EC3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</w:p>
        </w:tc>
        <w:tc>
          <w:tcPr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F51A63" w14:textId="29053377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Clarification of requirements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020F72" w14:textId="1916C2CE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A, E, H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76D32" w14:textId="2701B068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A, E, H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C4D667" w14:textId="6CD98935" w:rsidR="00536780" w:rsidRPr="00EF655F" w:rsidRDefault="00536780" w:rsidP="00536780">
            <w:pPr>
              <w:spacing w:before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Rosmarinic acid and vicenin-2 are only permitted for use if the plant part of Perilla frutescens is leaf.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6212F3" w14:textId="14B7A8A5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7DAC7A" w14:textId="77777777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36780" w14:paraId="0070B933" w14:textId="77777777" w:rsidTr="00725373">
        <w:tc>
          <w:tcPr>
            <w:tcW w:w="28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9CF86" w14:textId="62C37330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VICIA FABA</w:t>
            </w:r>
          </w:p>
        </w:tc>
        <w:tc>
          <w:tcPr>
            <w:tcW w:w="100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D8B0724" w14:textId="75382262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Change</w:t>
            </w:r>
          </w:p>
        </w:tc>
        <w:tc>
          <w:tcPr>
            <w:tcW w:w="14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9DEA82" w14:textId="058BF833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  <w:lang w:eastAsia="en-AU"/>
              </w:rPr>
            </w:pPr>
            <w:r w:rsidRPr="00725373">
              <w:rPr>
                <w:rFonts w:asciiTheme="minorHAnsi" w:hAnsiTheme="minorHAnsi" w:cstheme="minorHAnsi"/>
                <w:sz w:val="20"/>
                <w:szCs w:val="20"/>
                <w:lang w:eastAsia="en-AU"/>
              </w:rPr>
              <w:t>Clarification of requirements</w:t>
            </w:r>
          </w:p>
        </w:tc>
        <w:tc>
          <w:tcPr>
            <w:tcW w:w="9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A75F0" w14:textId="569CBD63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A, H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FCB4391" w14:textId="0D8B682A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A,H</w:t>
            </w:r>
          </w:p>
        </w:tc>
        <w:tc>
          <w:tcPr>
            <w:tcW w:w="22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E6C2A52" w14:textId="77777777" w:rsidR="00536780" w:rsidRPr="00EF655F" w:rsidRDefault="00536780" w:rsidP="00536780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Levodopa (of Vicia faba) is a mandatory component of Vicia faba.</w:t>
            </w:r>
          </w:p>
          <w:p w14:paraId="43EBE12D" w14:textId="36A04675" w:rsidR="00536780" w:rsidRPr="00EF655F" w:rsidRDefault="00536780" w:rsidP="00536780">
            <w:pPr>
              <w:autoSpaceDE w:val="0"/>
              <w:autoSpaceDN w:val="0"/>
              <w:spacing w:after="0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EF655F">
              <w:rPr>
                <w:rFonts w:asciiTheme="minorHAnsi" w:hAnsiTheme="minorHAnsi" w:cstheme="minorHAnsi"/>
                <w:strike/>
                <w:sz w:val="20"/>
                <w:szCs w:val="20"/>
              </w:rPr>
              <w:t>The concentration of Levodopa (of Vicia faba) from all ingredients in the medicine must be no more than 1mg/kg or 1mg/L or 0.1%</w:t>
            </w:r>
          </w:p>
        </w:tc>
        <w:tc>
          <w:tcPr>
            <w:tcW w:w="269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C82719" w14:textId="77777777" w:rsidR="00536780" w:rsidRPr="00536780" w:rsidRDefault="00536780" w:rsidP="00536780">
            <w:pPr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Levodopa is a mandatory component of Vicia faba.</w:t>
            </w:r>
          </w:p>
          <w:p w14:paraId="4B2A4A79" w14:textId="2B90CD83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6780">
              <w:rPr>
                <w:rFonts w:asciiTheme="minorHAnsi" w:hAnsiTheme="minorHAnsi" w:cstheme="minorHAnsi"/>
                <w:sz w:val="20"/>
                <w:szCs w:val="20"/>
              </w:rPr>
              <w:t>The concentration of levodopa in the  medicine must not be more than 10 mg/kg or 10 mg/L or 0.001%.</w:t>
            </w:r>
          </w:p>
        </w:tc>
        <w:tc>
          <w:tcPr>
            <w:tcW w:w="325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77D69B" w14:textId="77777777" w:rsidR="00536780" w:rsidRDefault="00536780" w:rsidP="0053678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0"/>
    </w:tbl>
    <w:p w14:paraId="3DF6018F" w14:textId="709D427A" w:rsidR="0055119A" w:rsidRPr="0055119A" w:rsidRDefault="0055119A" w:rsidP="009E788B">
      <w:pPr>
        <w:rPr>
          <w:rFonts w:asciiTheme="minorHAnsi" w:hAnsiTheme="minorHAnsi" w:cstheme="minorHAnsi"/>
          <w:sz w:val="22"/>
          <w:szCs w:val="22"/>
        </w:rPr>
      </w:pPr>
    </w:p>
    <w:sectPr w:rsidR="0055119A" w:rsidRPr="0055119A" w:rsidSect="009E788B">
      <w:pgSz w:w="16838" w:h="11906" w:orient="landscape"/>
      <w:pgMar w:top="1440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C97815" w14:textId="77777777" w:rsidR="00263556" w:rsidRDefault="00263556" w:rsidP="00A166CA">
      <w:r>
        <w:separator/>
      </w:r>
    </w:p>
  </w:endnote>
  <w:endnote w:type="continuationSeparator" w:id="0">
    <w:p w14:paraId="29C49682" w14:textId="77777777" w:rsidR="00263556" w:rsidRDefault="00263556" w:rsidP="00A166CA">
      <w:r>
        <w:continuationSeparator/>
      </w:r>
    </w:p>
  </w:endnote>
  <w:endnote w:type="continuationNotice" w:id="1">
    <w:p w14:paraId="67B9278F" w14:textId="77777777" w:rsidR="002E10A0" w:rsidRDefault="002E10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AED91" w14:textId="7805F430" w:rsidR="001A7DCC" w:rsidRDefault="001A7DCC">
    <w:pPr>
      <w:pStyle w:val="Footer"/>
    </w:pPr>
    <w:r w:rsidRPr="00B40056">
      <w:rPr>
        <w:rFonts w:ascii="Arial" w:hAnsi="Arial" w:cs="Arial"/>
        <w:b/>
        <w:sz w:val="20"/>
        <w:szCs w:val="20"/>
      </w:rPr>
      <w:t>Com</w:t>
    </w:r>
    <w:r>
      <w:rPr>
        <w:rFonts w:ascii="Arial" w:hAnsi="Arial" w:cs="Arial"/>
        <w:b/>
        <w:sz w:val="20"/>
        <w:szCs w:val="20"/>
      </w:rPr>
      <w:t>plementary Medicines</w:t>
    </w:r>
    <w:r w:rsidRPr="00B40056">
      <w:rPr>
        <w:rFonts w:ascii="Arial" w:hAnsi="Arial" w:cs="Arial"/>
        <w:b/>
        <w:sz w:val="20"/>
        <w:szCs w:val="20"/>
      </w:rPr>
      <w:t xml:space="preserve"> Australia </w:t>
    </w:r>
    <w:r>
      <w:rPr>
        <w:rFonts w:ascii="Arial" w:hAnsi="Arial" w:cs="Arial"/>
        <w:b/>
        <w:sz w:val="20"/>
        <w:szCs w:val="20"/>
      </w:rPr>
      <w:t xml:space="preserve"> </w:t>
    </w:r>
    <w:r w:rsidR="0089197F">
      <w:rPr>
        <w:rFonts w:ascii="Arial" w:hAnsi="Arial" w:cs="Arial"/>
        <w:b/>
        <w:sz w:val="20"/>
        <w:szCs w:val="20"/>
      </w:rPr>
      <w:tab/>
    </w:r>
    <w:r w:rsidR="0089197F">
      <w:rPr>
        <w:rFonts w:ascii="Arial" w:hAnsi="Arial" w:cs="Arial"/>
        <w:b/>
        <w:sz w:val="20"/>
        <w:szCs w:val="20"/>
      </w:rPr>
      <w:tab/>
    </w:r>
    <w:r w:rsidR="0089197F">
      <w:rPr>
        <w:rFonts w:ascii="Arial" w:hAnsi="Arial" w:cs="Arial"/>
        <w:b/>
        <w:sz w:val="20"/>
        <w:szCs w:val="20"/>
      </w:rPr>
      <w:fldChar w:fldCharType="begin"/>
    </w:r>
    <w:r w:rsidR="0089197F">
      <w:rPr>
        <w:rFonts w:ascii="Arial" w:hAnsi="Arial" w:cs="Arial"/>
        <w:b/>
        <w:sz w:val="20"/>
        <w:szCs w:val="20"/>
      </w:rPr>
      <w:instrText xml:space="preserve"> DATE \@ "d MMMM yyyy" </w:instrText>
    </w:r>
    <w:r w:rsidR="0089197F">
      <w:rPr>
        <w:rFonts w:ascii="Arial" w:hAnsi="Arial" w:cs="Arial"/>
        <w:b/>
        <w:sz w:val="20"/>
        <w:szCs w:val="20"/>
      </w:rPr>
      <w:fldChar w:fldCharType="separate"/>
    </w:r>
    <w:r w:rsidR="00F25CF4">
      <w:rPr>
        <w:rFonts w:ascii="Arial" w:hAnsi="Arial" w:cs="Arial"/>
        <w:b/>
        <w:noProof/>
        <w:sz w:val="20"/>
        <w:szCs w:val="20"/>
      </w:rPr>
      <w:t>17 August 2020</w:t>
    </w:r>
    <w:r w:rsidR="0089197F"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br/>
      <w:t>PO Box 450</w:t>
    </w:r>
    <w:r w:rsidRPr="006E308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Mawson ACT 2607   </w:t>
    </w:r>
    <w:r w:rsidRPr="006E3080">
      <w:rPr>
        <w:rFonts w:ascii="Arial" w:hAnsi="Arial" w:cs="Arial"/>
        <w:sz w:val="20"/>
        <w:szCs w:val="20"/>
      </w:rPr>
      <w:t>|</w:t>
    </w:r>
    <w:r>
      <w:rPr>
        <w:rFonts w:ascii="Arial" w:hAnsi="Arial" w:cs="Arial"/>
        <w:sz w:val="20"/>
        <w:szCs w:val="20"/>
      </w:rPr>
      <w:t xml:space="preserve">  </w:t>
    </w:r>
    <w:r w:rsidRPr="006E3080">
      <w:rPr>
        <w:rFonts w:ascii="Arial" w:hAnsi="Arial" w:cs="Arial"/>
        <w:sz w:val="20"/>
        <w:szCs w:val="20"/>
      </w:rPr>
      <w:t xml:space="preserve"> Tel: +61 (0)2 6260 4022</w:t>
    </w:r>
    <w:r>
      <w:rPr>
        <w:rFonts w:ascii="Arial" w:hAnsi="Arial" w:cs="Arial"/>
        <w:sz w:val="20"/>
        <w:szCs w:val="20"/>
      </w:rPr>
      <w:t xml:space="preserve">  </w:t>
    </w:r>
    <w:r w:rsidRPr="006E3080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 xml:space="preserve">|  </w:t>
    </w:r>
    <w:r w:rsidRPr="006E3080">
      <w:rPr>
        <w:rFonts w:ascii="Arial" w:hAnsi="Arial" w:cs="Arial"/>
        <w:sz w:val="20"/>
        <w:szCs w:val="20"/>
      </w:rPr>
      <w:t xml:space="preserve"> Website: </w:t>
    </w:r>
    <w:r>
      <w:rPr>
        <w:rFonts w:ascii="Arial" w:hAnsi="Arial" w:cs="Arial"/>
        <w:sz w:val="20"/>
        <w:szCs w:val="20"/>
      </w:rPr>
      <w:t>www.cmaustralia.org.au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F9F362" w14:textId="77777777" w:rsidR="00263556" w:rsidRDefault="00263556" w:rsidP="00A166CA">
      <w:r>
        <w:separator/>
      </w:r>
    </w:p>
  </w:footnote>
  <w:footnote w:type="continuationSeparator" w:id="0">
    <w:p w14:paraId="74A77C58" w14:textId="77777777" w:rsidR="00263556" w:rsidRDefault="00263556" w:rsidP="00A166CA">
      <w:r>
        <w:continuationSeparator/>
      </w:r>
    </w:p>
  </w:footnote>
  <w:footnote w:type="continuationNotice" w:id="1">
    <w:p w14:paraId="09EA7D29" w14:textId="77777777" w:rsidR="002E10A0" w:rsidRDefault="002E10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46CC7" w14:textId="0D785E0C" w:rsidR="001A7DCC" w:rsidRDefault="00525304" w:rsidP="00A166CA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B9072AA" wp14:editId="3C61C2BB">
          <wp:extent cx="340995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7.75pt;height:159.75pt;visibility:visible" o:bullet="t">
        <v:imagedata r:id="rId1" o:title=""/>
      </v:shape>
    </w:pict>
  </w:numPicBullet>
  <w:numPicBullet w:numPicBulletId="1">
    <w:pict>
      <v:shape id="_x0000_i1027" type="#_x0000_t75" style="width:168.75pt;height:168.75pt;visibility:visible" o:bullet="t">
        <v:imagedata r:id="rId2" o:title=""/>
      </v:shape>
    </w:pict>
  </w:numPicBullet>
  <w:numPicBullet w:numPicBulletId="2">
    <w:pict>
      <v:shape id="_x0000_i1028" type="#_x0000_t75" style="width:181.5pt;height:156pt;visibility:visible" o:bullet="t">
        <v:imagedata r:id="rId3" o:title=""/>
      </v:shape>
    </w:pict>
  </w:numPicBullet>
  <w:abstractNum w:abstractNumId="0" w15:restartNumberingAfterBreak="0">
    <w:nsid w:val="01926D18"/>
    <w:multiLevelType w:val="hybridMultilevel"/>
    <w:tmpl w:val="EC284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566C2"/>
    <w:multiLevelType w:val="hybridMultilevel"/>
    <w:tmpl w:val="EE1A0CC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D25A7"/>
    <w:multiLevelType w:val="hybridMultilevel"/>
    <w:tmpl w:val="58B8FF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53F11"/>
    <w:multiLevelType w:val="multilevel"/>
    <w:tmpl w:val="89BEA592"/>
    <w:styleLink w:val="NumberBullet"/>
    <w:lvl w:ilvl="0">
      <w:start w:val="1"/>
      <w:numFmt w:val="decimal"/>
      <w:pStyle w:val="Numberbullet0"/>
      <w:lvlText w:val="%1."/>
      <w:lvlJc w:val="left"/>
      <w:pPr>
        <w:ind w:left="1145" w:hanging="425"/>
      </w:pPr>
      <w:rPr>
        <w:rFonts w:ascii="Cambria" w:hAnsi="Cambria" w:hint="default"/>
      </w:rPr>
    </w:lvl>
    <w:lvl w:ilvl="1">
      <w:start w:val="1"/>
      <w:numFmt w:val="lowerLetter"/>
      <w:pStyle w:val="Numberbullet2"/>
      <w:lvlText w:val="%2)"/>
      <w:lvlJc w:val="left"/>
      <w:pPr>
        <w:ind w:left="1571" w:hanging="426"/>
      </w:pPr>
    </w:lvl>
    <w:lvl w:ilvl="2">
      <w:start w:val="1"/>
      <w:numFmt w:val="lowerRoman"/>
      <w:lvlText w:val="%3."/>
      <w:lvlJc w:val="left"/>
      <w:pPr>
        <w:ind w:left="1996" w:hanging="425"/>
      </w:pPr>
    </w:lvl>
    <w:lvl w:ilvl="3">
      <w:start w:val="1"/>
      <w:numFmt w:val="none"/>
      <w:lvlText w:val=""/>
      <w:lvlJc w:val="left"/>
      <w:pPr>
        <w:ind w:left="1996" w:hanging="425"/>
      </w:pPr>
    </w:lvl>
    <w:lvl w:ilvl="4">
      <w:start w:val="1"/>
      <w:numFmt w:val="none"/>
      <w:lvlText w:val=""/>
      <w:lvlJc w:val="left"/>
      <w:pPr>
        <w:ind w:left="1996" w:hanging="425"/>
      </w:pPr>
    </w:lvl>
    <w:lvl w:ilvl="5">
      <w:start w:val="1"/>
      <w:numFmt w:val="none"/>
      <w:lvlText w:val=""/>
      <w:lvlJc w:val="left"/>
      <w:pPr>
        <w:ind w:left="1996" w:hanging="425"/>
      </w:pPr>
    </w:lvl>
    <w:lvl w:ilvl="6">
      <w:start w:val="1"/>
      <w:numFmt w:val="none"/>
      <w:lvlText w:val="%7"/>
      <w:lvlJc w:val="left"/>
      <w:pPr>
        <w:ind w:left="1996" w:hanging="425"/>
      </w:pPr>
    </w:lvl>
    <w:lvl w:ilvl="7">
      <w:start w:val="1"/>
      <w:numFmt w:val="none"/>
      <w:lvlText w:val=""/>
      <w:lvlJc w:val="left"/>
      <w:pPr>
        <w:ind w:left="1996" w:hanging="425"/>
      </w:pPr>
    </w:lvl>
    <w:lvl w:ilvl="8">
      <w:start w:val="1"/>
      <w:numFmt w:val="none"/>
      <w:lvlText w:val=""/>
      <w:lvlJc w:val="left"/>
      <w:pPr>
        <w:ind w:left="1996" w:hanging="425"/>
      </w:pPr>
    </w:lvl>
  </w:abstractNum>
  <w:abstractNum w:abstractNumId="4" w15:restartNumberingAfterBreak="0">
    <w:nsid w:val="109C7027"/>
    <w:multiLevelType w:val="hybridMultilevel"/>
    <w:tmpl w:val="96326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0A76"/>
    <w:multiLevelType w:val="multilevel"/>
    <w:tmpl w:val="1C6CD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F13E9"/>
    <w:multiLevelType w:val="multilevel"/>
    <w:tmpl w:val="DA360B98"/>
    <w:styleLink w:val="List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2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ind w:left="1440" w:hanging="360"/>
      </w:pPr>
    </w:lvl>
    <w:lvl w:ilvl="4">
      <w:start w:val="1"/>
      <w:numFmt w:val="non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ind w:left="2160" w:hanging="360"/>
      </w:pPr>
    </w:lvl>
    <w:lvl w:ilvl="6">
      <w:start w:val="1"/>
      <w:numFmt w:val="none"/>
      <w:lvlText w:val="%7"/>
      <w:lvlJc w:val="left"/>
      <w:pPr>
        <w:ind w:left="2520" w:hanging="360"/>
      </w:pPr>
    </w:lvl>
    <w:lvl w:ilvl="7">
      <w:start w:val="1"/>
      <w:numFmt w:val="none"/>
      <w:lvlText w:val="%8"/>
      <w:lvlJc w:val="left"/>
      <w:pPr>
        <w:ind w:left="2880" w:hanging="360"/>
      </w:pPr>
    </w:lvl>
    <w:lvl w:ilvl="8">
      <w:start w:val="1"/>
      <w:numFmt w:val="none"/>
      <w:lvlText w:val="%9"/>
      <w:lvlJc w:val="left"/>
      <w:pPr>
        <w:ind w:left="3240" w:hanging="360"/>
      </w:pPr>
    </w:lvl>
  </w:abstractNum>
  <w:abstractNum w:abstractNumId="7" w15:restartNumberingAfterBreak="0">
    <w:nsid w:val="17D32831"/>
    <w:multiLevelType w:val="hybridMultilevel"/>
    <w:tmpl w:val="48DED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33B54"/>
    <w:multiLevelType w:val="hybridMultilevel"/>
    <w:tmpl w:val="677A21A2"/>
    <w:lvl w:ilvl="0" w:tplc="901278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C94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2B4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02E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24B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1869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0A0B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8629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6AC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D422562"/>
    <w:multiLevelType w:val="multilevel"/>
    <w:tmpl w:val="A492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A45E8B"/>
    <w:multiLevelType w:val="multilevel"/>
    <w:tmpl w:val="A8BA8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4E60C2"/>
    <w:multiLevelType w:val="hybridMultilevel"/>
    <w:tmpl w:val="9284802A"/>
    <w:lvl w:ilvl="0" w:tplc="4B820C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6DC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A02C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64FB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72CE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D069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F043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C6DA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B081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3970181"/>
    <w:multiLevelType w:val="hybridMultilevel"/>
    <w:tmpl w:val="07B4DB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D60BB"/>
    <w:multiLevelType w:val="hybridMultilevel"/>
    <w:tmpl w:val="F020A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E4920"/>
    <w:multiLevelType w:val="hybridMultilevel"/>
    <w:tmpl w:val="22767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50173"/>
    <w:multiLevelType w:val="hybridMultilevel"/>
    <w:tmpl w:val="B230818E"/>
    <w:lvl w:ilvl="0" w:tplc="93303A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7C2685"/>
    <w:multiLevelType w:val="hybridMultilevel"/>
    <w:tmpl w:val="ED9034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59F7"/>
    <w:multiLevelType w:val="multilevel"/>
    <w:tmpl w:val="25D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08306C"/>
    <w:multiLevelType w:val="hybridMultilevel"/>
    <w:tmpl w:val="DD049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111BB7"/>
    <w:multiLevelType w:val="hybridMultilevel"/>
    <w:tmpl w:val="D3B20EB6"/>
    <w:lvl w:ilvl="0" w:tplc="DB0052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4139F"/>
    <w:multiLevelType w:val="hybridMultilevel"/>
    <w:tmpl w:val="FD88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B7F44"/>
    <w:multiLevelType w:val="hybridMultilevel"/>
    <w:tmpl w:val="4BC078DA"/>
    <w:lvl w:ilvl="0" w:tplc="AFF4991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762D3"/>
    <w:multiLevelType w:val="hybridMultilevel"/>
    <w:tmpl w:val="0C74F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23C93"/>
    <w:multiLevelType w:val="hybridMultilevel"/>
    <w:tmpl w:val="F6ACEAAC"/>
    <w:lvl w:ilvl="0" w:tplc="3260D9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A3B6D"/>
    <w:multiLevelType w:val="hybridMultilevel"/>
    <w:tmpl w:val="D31C6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F2486"/>
    <w:multiLevelType w:val="multilevel"/>
    <w:tmpl w:val="25D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267F2D"/>
    <w:multiLevelType w:val="hybridMultilevel"/>
    <w:tmpl w:val="6C9292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53A06"/>
    <w:multiLevelType w:val="multilevel"/>
    <w:tmpl w:val="25D0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AE0AAC"/>
    <w:multiLevelType w:val="hybridMultilevel"/>
    <w:tmpl w:val="1FD81E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CA2514"/>
    <w:multiLevelType w:val="hybridMultilevel"/>
    <w:tmpl w:val="5588976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EF62CD3"/>
    <w:multiLevelType w:val="hybridMultilevel"/>
    <w:tmpl w:val="8A4AB558"/>
    <w:lvl w:ilvl="0" w:tplc="BEE6FC2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F90630"/>
    <w:multiLevelType w:val="hybridMultilevel"/>
    <w:tmpl w:val="17D0CB3E"/>
    <w:lvl w:ilvl="0" w:tplc="B832F16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54CD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6B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687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AA52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6EF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9AC8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967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BC11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71050DE3"/>
    <w:multiLevelType w:val="hybridMultilevel"/>
    <w:tmpl w:val="CA4679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EB7B16"/>
    <w:multiLevelType w:val="multilevel"/>
    <w:tmpl w:val="B8587AC2"/>
    <w:lvl w:ilvl="0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66"/>
        </w:tabs>
        <w:ind w:left="726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86"/>
        </w:tabs>
        <w:ind w:left="7986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FD35E9"/>
    <w:multiLevelType w:val="hybridMultilevel"/>
    <w:tmpl w:val="C270D9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C500F"/>
    <w:multiLevelType w:val="hybridMultilevel"/>
    <w:tmpl w:val="2378F62C"/>
    <w:lvl w:ilvl="0" w:tplc="BED0BB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40ED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2E2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62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CA76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3E3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86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34A2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121D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EBA7242"/>
    <w:multiLevelType w:val="hybridMultilevel"/>
    <w:tmpl w:val="4042A732"/>
    <w:lvl w:ilvl="0" w:tplc="BEE6FC28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6462B6"/>
    <w:multiLevelType w:val="hybridMultilevel"/>
    <w:tmpl w:val="1F1003F2"/>
    <w:lvl w:ilvl="0" w:tplc="C658B40E">
      <w:numFmt w:val="bullet"/>
      <w:lvlText w:val="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02648"/>
    <w:multiLevelType w:val="hybridMultilevel"/>
    <w:tmpl w:val="A446C326"/>
    <w:lvl w:ilvl="0" w:tplc="0C0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9"/>
  </w:num>
  <w:num w:numId="8">
    <w:abstractNumId w:val="24"/>
  </w:num>
  <w:num w:numId="9">
    <w:abstractNumId w:val="9"/>
  </w:num>
  <w:num w:numId="10">
    <w:abstractNumId w:val="13"/>
  </w:num>
  <w:num w:numId="11">
    <w:abstractNumId w:val="1"/>
  </w:num>
  <w:num w:numId="12">
    <w:abstractNumId w:val="18"/>
  </w:num>
  <w:num w:numId="13">
    <w:abstractNumId w:val="37"/>
  </w:num>
  <w:num w:numId="14">
    <w:abstractNumId w:val="12"/>
  </w:num>
  <w:num w:numId="15">
    <w:abstractNumId w:val="33"/>
  </w:num>
  <w:num w:numId="16">
    <w:abstractNumId w:val="0"/>
  </w:num>
  <w:num w:numId="17">
    <w:abstractNumId w:val="34"/>
  </w:num>
  <w:num w:numId="18">
    <w:abstractNumId w:val="26"/>
  </w:num>
  <w:num w:numId="19">
    <w:abstractNumId w:val="10"/>
  </w:num>
  <w:num w:numId="20">
    <w:abstractNumId w:val="38"/>
  </w:num>
  <w:num w:numId="21">
    <w:abstractNumId w:val="32"/>
  </w:num>
  <w:num w:numId="22">
    <w:abstractNumId w:val="21"/>
  </w:num>
  <w:num w:numId="23">
    <w:abstractNumId w:val="20"/>
  </w:num>
  <w:num w:numId="24">
    <w:abstractNumId w:val="4"/>
  </w:num>
  <w:num w:numId="25">
    <w:abstractNumId w:val="19"/>
  </w:num>
  <w:num w:numId="26">
    <w:abstractNumId w:val="5"/>
  </w:num>
  <w:num w:numId="27">
    <w:abstractNumId w:val="15"/>
  </w:num>
  <w:num w:numId="28">
    <w:abstractNumId w:val="17"/>
  </w:num>
  <w:num w:numId="29">
    <w:abstractNumId w:val="14"/>
  </w:num>
  <w:num w:numId="30">
    <w:abstractNumId w:val="16"/>
  </w:num>
  <w:num w:numId="31">
    <w:abstractNumId w:val="7"/>
  </w:num>
  <w:num w:numId="32">
    <w:abstractNumId w:val="27"/>
  </w:num>
  <w:num w:numId="33">
    <w:abstractNumId w:val="25"/>
  </w:num>
  <w:num w:numId="34">
    <w:abstractNumId w:val="35"/>
  </w:num>
  <w:num w:numId="35">
    <w:abstractNumId w:val="8"/>
  </w:num>
  <w:num w:numId="36">
    <w:abstractNumId w:val="11"/>
  </w:num>
  <w:num w:numId="37">
    <w:abstractNumId w:val="31"/>
  </w:num>
  <w:num w:numId="38">
    <w:abstractNumId w:val="22"/>
  </w:num>
  <w:num w:numId="39">
    <w:abstractNumId w:val="23"/>
  </w:num>
  <w:num w:numId="40">
    <w:abstractNumId w:val="28"/>
  </w:num>
  <w:num w:numId="41">
    <w:abstractNumId w:val="36"/>
  </w:num>
  <w:num w:numId="42">
    <w:abstractNumId w:val="3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EQhNzYwNjC0tTIyUdpeDU4uLM/DyQApNaAIzGzhAsAAAA"/>
  </w:docVars>
  <w:rsids>
    <w:rsidRoot w:val="00A166CA"/>
    <w:rsid w:val="0000460E"/>
    <w:rsid w:val="00006077"/>
    <w:rsid w:val="00006DE9"/>
    <w:rsid w:val="00012466"/>
    <w:rsid w:val="00015A54"/>
    <w:rsid w:val="00015A70"/>
    <w:rsid w:val="00015AD9"/>
    <w:rsid w:val="0001641D"/>
    <w:rsid w:val="00016A50"/>
    <w:rsid w:val="000177C3"/>
    <w:rsid w:val="0002064B"/>
    <w:rsid w:val="00022271"/>
    <w:rsid w:val="00024B3B"/>
    <w:rsid w:val="000326A0"/>
    <w:rsid w:val="0003528D"/>
    <w:rsid w:val="000357E2"/>
    <w:rsid w:val="000414B9"/>
    <w:rsid w:val="00041F01"/>
    <w:rsid w:val="00044EB5"/>
    <w:rsid w:val="00045261"/>
    <w:rsid w:val="0005056C"/>
    <w:rsid w:val="00054EC3"/>
    <w:rsid w:val="00055F83"/>
    <w:rsid w:val="00056415"/>
    <w:rsid w:val="00056ADE"/>
    <w:rsid w:val="00060B52"/>
    <w:rsid w:val="0006190D"/>
    <w:rsid w:val="00063F8B"/>
    <w:rsid w:val="000652D4"/>
    <w:rsid w:val="00066C8D"/>
    <w:rsid w:val="0007393E"/>
    <w:rsid w:val="000739CE"/>
    <w:rsid w:val="000751F3"/>
    <w:rsid w:val="000758A6"/>
    <w:rsid w:val="00080532"/>
    <w:rsid w:val="00084687"/>
    <w:rsid w:val="00087911"/>
    <w:rsid w:val="00087EE4"/>
    <w:rsid w:val="00091457"/>
    <w:rsid w:val="00092D26"/>
    <w:rsid w:val="0009374E"/>
    <w:rsid w:val="000944C6"/>
    <w:rsid w:val="000A2979"/>
    <w:rsid w:val="000B088A"/>
    <w:rsid w:val="000B1686"/>
    <w:rsid w:val="000B17AC"/>
    <w:rsid w:val="000B1B71"/>
    <w:rsid w:val="000B4159"/>
    <w:rsid w:val="000B5B78"/>
    <w:rsid w:val="000B7303"/>
    <w:rsid w:val="000C226B"/>
    <w:rsid w:val="000C323D"/>
    <w:rsid w:val="000C358E"/>
    <w:rsid w:val="000C3C35"/>
    <w:rsid w:val="000C4174"/>
    <w:rsid w:val="000C4610"/>
    <w:rsid w:val="000D1C3D"/>
    <w:rsid w:val="000D6AC7"/>
    <w:rsid w:val="000D6CE9"/>
    <w:rsid w:val="000D7D73"/>
    <w:rsid w:val="000E4FE2"/>
    <w:rsid w:val="000E7B70"/>
    <w:rsid w:val="000F02C9"/>
    <w:rsid w:val="000F1F2F"/>
    <w:rsid w:val="000F7448"/>
    <w:rsid w:val="0010292D"/>
    <w:rsid w:val="00115008"/>
    <w:rsid w:val="00116FC6"/>
    <w:rsid w:val="00120ADC"/>
    <w:rsid w:val="0012138E"/>
    <w:rsid w:val="00122697"/>
    <w:rsid w:val="00123C89"/>
    <w:rsid w:val="001370F5"/>
    <w:rsid w:val="001378A2"/>
    <w:rsid w:val="00143E5F"/>
    <w:rsid w:val="00154258"/>
    <w:rsid w:val="00155B51"/>
    <w:rsid w:val="00160458"/>
    <w:rsid w:val="00162843"/>
    <w:rsid w:val="001632ED"/>
    <w:rsid w:val="00164EF0"/>
    <w:rsid w:val="0016774E"/>
    <w:rsid w:val="00170026"/>
    <w:rsid w:val="00172211"/>
    <w:rsid w:val="00173338"/>
    <w:rsid w:val="0018069E"/>
    <w:rsid w:val="00183263"/>
    <w:rsid w:val="00184D02"/>
    <w:rsid w:val="0018617B"/>
    <w:rsid w:val="00187197"/>
    <w:rsid w:val="0019254E"/>
    <w:rsid w:val="00194EF5"/>
    <w:rsid w:val="001A6F2F"/>
    <w:rsid w:val="001A7D21"/>
    <w:rsid w:val="001A7DCC"/>
    <w:rsid w:val="001B1E31"/>
    <w:rsid w:val="001B41E4"/>
    <w:rsid w:val="001C2249"/>
    <w:rsid w:val="001D1A36"/>
    <w:rsid w:val="001D30BE"/>
    <w:rsid w:val="001D3C7C"/>
    <w:rsid w:val="001E069D"/>
    <w:rsid w:val="001E428F"/>
    <w:rsid w:val="001F540E"/>
    <w:rsid w:val="001F5883"/>
    <w:rsid w:val="00206421"/>
    <w:rsid w:val="00210E5A"/>
    <w:rsid w:val="002132B7"/>
    <w:rsid w:val="00222219"/>
    <w:rsid w:val="00223A21"/>
    <w:rsid w:val="002275E7"/>
    <w:rsid w:val="002325C9"/>
    <w:rsid w:val="00235650"/>
    <w:rsid w:val="00240296"/>
    <w:rsid w:val="00240380"/>
    <w:rsid w:val="00242A24"/>
    <w:rsid w:val="00257EAE"/>
    <w:rsid w:val="00262891"/>
    <w:rsid w:val="00262D6A"/>
    <w:rsid w:val="00263556"/>
    <w:rsid w:val="00265268"/>
    <w:rsid w:val="0026705E"/>
    <w:rsid w:val="00267E1F"/>
    <w:rsid w:val="00271A09"/>
    <w:rsid w:val="00272DB7"/>
    <w:rsid w:val="00275C92"/>
    <w:rsid w:val="00275DA2"/>
    <w:rsid w:val="00280023"/>
    <w:rsid w:val="00282D25"/>
    <w:rsid w:val="00292866"/>
    <w:rsid w:val="0029548A"/>
    <w:rsid w:val="002A1D5A"/>
    <w:rsid w:val="002A27AA"/>
    <w:rsid w:val="002A5E6F"/>
    <w:rsid w:val="002A609C"/>
    <w:rsid w:val="002A6DA7"/>
    <w:rsid w:val="002B1664"/>
    <w:rsid w:val="002B2E0C"/>
    <w:rsid w:val="002B3180"/>
    <w:rsid w:val="002B4BA8"/>
    <w:rsid w:val="002B62B9"/>
    <w:rsid w:val="002B6E1C"/>
    <w:rsid w:val="002B7016"/>
    <w:rsid w:val="002C0C70"/>
    <w:rsid w:val="002D3AD0"/>
    <w:rsid w:val="002E10A0"/>
    <w:rsid w:val="002E2154"/>
    <w:rsid w:val="002E2543"/>
    <w:rsid w:val="002E3A10"/>
    <w:rsid w:val="002F085E"/>
    <w:rsid w:val="002F74E6"/>
    <w:rsid w:val="003070C7"/>
    <w:rsid w:val="00314442"/>
    <w:rsid w:val="00315C8A"/>
    <w:rsid w:val="00322902"/>
    <w:rsid w:val="0032454A"/>
    <w:rsid w:val="00326039"/>
    <w:rsid w:val="00326BC0"/>
    <w:rsid w:val="00330C60"/>
    <w:rsid w:val="00330CF2"/>
    <w:rsid w:val="00354EA2"/>
    <w:rsid w:val="003666D9"/>
    <w:rsid w:val="00367621"/>
    <w:rsid w:val="00370053"/>
    <w:rsid w:val="00370094"/>
    <w:rsid w:val="00371328"/>
    <w:rsid w:val="00375175"/>
    <w:rsid w:val="003804E5"/>
    <w:rsid w:val="00382613"/>
    <w:rsid w:val="003854B5"/>
    <w:rsid w:val="00391678"/>
    <w:rsid w:val="003976FE"/>
    <w:rsid w:val="003A5AB8"/>
    <w:rsid w:val="003A5F5E"/>
    <w:rsid w:val="003B07CD"/>
    <w:rsid w:val="003C2C09"/>
    <w:rsid w:val="003C31E6"/>
    <w:rsid w:val="003C66F8"/>
    <w:rsid w:val="003D7C03"/>
    <w:rsid w:val="003E5CFC"/>
    <w:rsid w:val="003F19E6"/>
    <w:rsid w:val="003F260C"/>
    <w:rsid w:val="003F5A8F"/>
    <w:rsid w:val="00407601"/>
    <w:rsid w:val="0041338D"/>
    <w:rsid w:val="00421809"/>
    <w:rsid w:val="00423473"/>
    <w:rsid w:val="00424A42"/>
    <w:rsid w:val="004268B9"/>
    <w:rsid w:val="004306D8"/>
    <w:rsid w:val="00431DEC"/>
    <w:rsid w:val="0045569C"/>
    <w:rsid w:val="004601DA"/>
    <w:rsid w:val="00461E6D"/>
    <w:rsid w:val="00462C28"/>
    <w:rsid w:val="00464912"/>
    <w:rsid w:val="00465E09"/>
    <w:rsid w:val="00466975"/>
    <w:rsid w:val="0046756E"/>
    <w:rsid w:val="004700FF"/>
    <w:rsid w:val="00471727"/>
    <w:rsid w:val="004801BD"/>
    <w:rsid w:val="004802AB"/>
    <w:rsid w:val="00490C88"/>
    <w:rsid w:val="0049376C"/>
    <w:rsid w:val="00497204"/>
    <w:rsid w:val="004A128D"/>
    <w:rsid w:val="004A2708"/>
    <w:rsid w:val="004A51A6"/>
    <w:rsid w:val="004A6409"/>
    <w:rsid w:val="004B1485"/>
    <w:rsid w:val="004B1A0D"/>
    <w:rsid w:val="004B42CF"/>
    <w:rsid w:val="004C0A38"/>
    <w:rsid w:val="004C0C0A"/>
    <w:rsid w:val="004C103A"/>
    <w:rsid w:val="004C1E0B"/>
    <w:rsid w:val="004C40E8"/>
    <w:rsid w:val="004C5FFE"/>
    <w:rsid w:val="004C6946"/>
    <w:rsid w:val="004C70D1"/>
    <w:rsid w:val="004D0344"/>
    <w:rsid w:val="004D0A0A"/>
    <w:rsid w:val="004D33C3"/>
    <w:rsid w:val="004D372A"/>
    <w:rsid w:val="004D47DC"/>
    <w:rsid w:val="004D6DD2"/>
    <w:rsid w:val="004D725A"/>
    <w:rsid w:val="004D7726"/>
    <w:rsid w:val="004E42B8"/>
    <w:rsid w:val="004E5A33"/>
    <w:rsid w:val="004E705C"/>
    <w:rsid w:val="004F0C8F"/>
    <w:rsid w:val="004F1DA6"/>
    <w:rsid w:val="004F5D58"/>
    <w:rsid w:val="005041B8"/>
    <w:rsid w:val="00505AB8"/>
    <w:rsid w:val="00505E44"/>
    <w:rsid w:val="00506EEC"/>
    <w:rsid w:val="00507303"/>
    <w:rsid w:val="0051032F"/>
    <w:rsid w:val="00511E78"/>
    <w:rsid w:val="0051268D"/>
    <w:rsid w:val="00517DDB"/>
    <w:rsid w:val="00523E7E"/>
    <w:rsid w:val="00524DCF"/>
    <w:rsid w:val="00525304"/>
    <w:rsid w:val="00525EC0"/>
    <w:rsid w:val="00530657"/>
    <w:rsid w:val="00534F59"/>
    <w:rsid w:val="0053544D"/>
    <w:rsid w:val="00536780"/>
    <w:rsid w:val="00537565"/>
    <w:rsid w:val="005421E2"/>
    <w:rsid w:val="0054600F"/>
    <w:rsid w:val="005508A3"/>
    <w:rsid w:val="0055119A"/>
    <w:rsid w:val="00551CFF"/>
    <w:rsid w:val="005537DC"/>
    <w:rsid w:val="005615E5"/>
    <w:rsid w:val="005859D0"/>
    <w:rsid w:val="00586EE2"/>
    <w:rsid w:val="00590E03"/>
    <w:rsid w:val="00591466"/>
    <w:rsid w:val="00591D81"/>
    <w:rsid w:val="00595C83"/>
    <w:rsid w:val="005A4DA9"/>
    <w:rsid w:val="005A6870"/>
    <w:rsid w:val="005B0356"/>
    <w:rsid w:val="005B15BA"/>
    <w:rsid w:val="005B1A1F"/>
    <w:rsid w:val="005B227F"/>
    <w:rsid w:val="005B2DBF"/>
    <w:rsid w:val="005B2DCB"/>
    <w:rsid w:val="005B7012"/>
    <w:rsid w:val="005C2136"/>
    <w:rsid w:val="005C40F4"/>
    <w:rsid w:val="005C55C9"/>
    <w:rsid w:val="005C597B"/>
    <w:rsid w:val="005C5FE9"/>
    <w:rsid w:val="005C662A"/>
    <w:rsid w:val="005C6E03"/>
    <w:rsid w:val="005D3D34"/>
    <w:rsid w:val="005D5A12"/>
    <w:rsid w:val="005D7F7F"/>
    <w:rsid w:val="005E2A06"/>
    <w:rsid w:val="005E4F3F"/>
    <w:rsid w:val="005F14A4"/>
    <w:rsid w:val="005F1650"/>
    <w:rsid w:val="005F4C4D"/>
    <w:rsid w:val="005F7888"/>
    <w:rsid w:val="00606AD2"/>
    <w:rsid w:val="00606F87"/>
    <w:rsid w:val="00625419"/>
    <w:rsid w:val="006254C9"/>
    <w:rsid w:val="00626043"/>
    <w:rsid w:val="00626884"/>
    <w:rsid w:val="0063262F"/>
    <w:rsid w:val="00632B74"/>
    <w:rsid w:val="006418E1"/>
    <w:rsid w:val="006430ED"/>
    <w:rsid w:val="00645E7D"/>
    <w:rsid w:val="006461F4"/>
    <w:rsid w:val="00652501"/>
    <w:rsid w:val="00652AEE"/>
    <w:rsid w:val="00657F48"/>
    <w:rsid w:val="006615DB"/>
    <w:rsid w:val="006652BC"/>
    <w:rsid w:val="006654EE"/>
    <w:rsid w:val="00665C83"/>
    <w:rsid w:val="006702B2"/>
    <w:rsid w:val="00677387"/>
    <w:rsid w:val="00684FB1"/>
    <w:rsid w:val="00686A5C"/>
    <w:rsid w:val="00691EA5"/>
    <w:rsid w:val="00691F5C"/>
    <w:rsid w:val="00694539"/>
    <w:rsid w:val="00695772"/>
    <w:rsid w:val="006A2A85"/>
    <w:rsid w:val="006B13E2"/>
    <w:rsid w:val="006B36E8"/>
    <w:rsid w:val="006B6A4E"/>
    <w:rsid w:val="006C19F9"/>
    <w:rsid w:val="006C2982"/>
    <w:rsid w:val="006C67F7"/>
    <w:rsid w:val="006C6A5D"/>
    <w:rsid w:val="006D086E"/>
    <w:rsid w:val="006D3A2A"/>
    <w:rsid w:val="006D3A78"/>
    <w:rsid w:val="006E1A63"/>
    <w:rsid w:val="006E1BB2"/>
    <w:rsid w:val="006F088B"/>
    <w:rsid w:val="006F5F5C"/>
    <w:rsid w:val="007002F3"/>
    <w:rsid w:val="00701CF9"/>
    <w:rsid w:val="0070336B"/>
    <w:rsid w:val="00712092"/>
    <w:rsid w:val="0072037E"/>
    <w:rsid w:val="00721EC3"/>
    <w:rsid w:val="00723B78"/>
    <w:rsid w:val="0072432A"/>
    <w:rsid w:val="007243DC"/>
    <w:rsid w:val="00725373"/>
    <w:rsid w:val="007310D9"/>
    <w:rsid w:val="00740E5B"/>
    <w:rsid w:val="0074251E"/>
    <w:rsid w:val="00756861"/>
    <w:rsid w:val="00761B96"/>
    <w:rsid w:val="0076335D"/>
    <w:rsid w:val="00763528"/>
    <w:rsid w:val="00764442"/>
    <w:rsid w:val="00765603"/>
    <w:rsid w:val="00767040"/>
    <w:rsid w:val="00771F0F"/>
    <w:rsid w:val="0077729F"/>
    <w:rsid w:val="0078272F"/>
    <w:rsid w:val="00784FDF"/>
    <w:rsid w:val="00786CA3"/>
    <w:rsid w:val="00790B22"/>
    <w:rsid w:val="00791EAD"/>
    <w:rsid w:val="00793A0E"/>
    <w:rsid w:val="00794D36"/>
    <w:rsid w:val="007A0064"/>
    <w:rsid w:val="007A224B"/>
    <w:rsid w:val="007A478D"/>
    <w:rsid w:val="007A4CB4"/>
    <w:rsid w:val="007A4F09"/>
    <w:rsid w:val="007A6FD7"/>
    <w:rsid w:val="007A78CC"/>
    <w:rsid w:val="007A7CAB"/>
    <w:rsid w:val="007B7B4B"/>
    <w:rsid w:val="007B7CF5"/>
    <w:rsid w:val="007C200B"/>
    <w:rsid w:val="007C221B"/>
    <w:rsid w:val="007C35F0"/>
    <w:rsid w:val="007C711F"/>
    <w:rsid w:val="007D12B6"/>
    <w:rsid w:val="007D148A"/>
    <w:rsid w:val="007E4857"/>
    <w:rsid w:val="007E7186"/>
    <w:rsid w:val="007F2EE2"/>
    <w:rsid w:val="007F6840"/>
    <w:rsid w:val="008029A7"/>
    <w:rsid w:val="0080341A"/>
    <w:rsid w:val="008036B8"/>
    <w:rsid w:val="0080501A"/>
    <w:rsid w:val="00805E8C"/>
    <w:rsid w:val="00807C04"/>
    <w:rsid w:val="00810544"/>
    <w:rsid w:val="008122B4"/>
    <w:rsid w:val="00812723"/>
    <w:rsid w:val="00814AC8"/>
    <w:rsid w:val="00820FF8"/>
    <w:rsid w:val="0082224A"/>
    <w:rsid w:val="0082368D"/>
    <w:rsid w:val="00830384"/>
    <w:rsid w:val="00830A2C"/>
    <w:rsid w:val="008315E2"/>
    <w:rsid w:val="00837E7F"/>
    <w:rsid w:val="00840C61"/>
    <w:rsid w:val="00844B6D"/>
    <w:rsid w:val="008451E7"/>
    <w:rsid w:val="008461FC"/>
    <w:rsid w:val="00847A41"/>
    <w:rsid w:val="008519C0"/>
    <w:rsid w:val="00851E7B"/>
    <w:rsid w:val="00853659"/>
    <w:rsid w:val="00856175"/>
    <w:rsid w:val="00860FB5"/>
    <w:rsid w:val="0086276E"/>
    <w:rsid w:val="00864105"/>
    <w:rsid w:val="00864DEA"/>
    <w:rsid w:val="008654E3"/>
    <w:rsid w:val="0086556F"/>
    <w:rsid w:val="008745C9"/>
    <w:rsid w:val="0088030F"/>
    <w:rsid w:val="00881DEE"/>
    <w:rsid w:val="00883A4F"/>
    <w:rsid w:val="00884829"/>
    <w:rsid w:val="00886454"/>
    <w:rsid w:val="0088744E"/>
    <w:rsid w:val="008905A0"/>
    <w:rsid w:val="0089197F"/>
    <w:rsid w:val="008A7CD1"/>
    <w:rsid w:val="008B5302"/>
    <w:rsid w:val="008B5CDD"/>
    <w:rsid w:val="008B6F6B"/>
    <w:rsid w:val="008C11C0"/>
    <w:rsid w:val="008C1BAE"/>
    <w:rsid w:val="008C2F83"/>
    <w:rsid w:val="008C5E70"/>
    <w:rsid w:val="008C70FA"/>
    <w:rsid w:val="008E245F"/>
    <w:rsid w:val="008E57E3"/>
    <w:rsid w:val="008F2709"/>
    <w:rsid w:val="00904BDA"/>
    <w:rsid w:val="00905586"/>
    <w:rsid w:val="009108D4"/>
    <w:rsid w:val="009113E4"/>
    <w:rsid w:val="00912AAB"/>
    <w:rsid w:val="00915C44"/>
    <w:rsid w:val="00916D35"/>
    <w:rsid w:val="009207A2"/>
    <w:rsid w:val="00920E40"/>
    <w:rsid w:val="00922B40"/>
    <w:rsid w:val="00926A8E"/>
    <w:rsid w:val="00927240"/>
    <w:rsid w:val="0093408D"/>
    <w:rsid w:val="009369C7"/>
    <w:rsid w:val="00937478"/>
    <w:rsid w:val="00941A65"/>
    <w:rsid w:val="009443B7"/>
    <w:rsid w:val="00950838"/>
    <w:rsid w:val="009510DD"/>
    <w:rsid w:val="00952E5F"/>
    <w:rsid w:val="00957208"/>
    <w:rsid w:val="0096059C"/>
    <w:rsid w:val="00962740"/>
    <w:rsid w:val="00965812"/>
    <w:rsid w:val="009662E1"/>
    <w:rsid w:val="00967C56"/>
    <w:rsid w:val="009748AC"/>
    <w:rsid w:val="00977B7F"/>
    <w:rsid w:val="00980286"/>
    <w:rsid w:val="009824BC"/>
    <w:rsid w:val="009876B9"/>
    <w:rsid w:val="009905A3"/>
    <w:rsid w:val="009915DA"/>
    <w:rsid w:val="00991972"/>
    <w:rsid w:val="0099379A"/>
    <w:rsid w:val="00997018"/>
    <w:rsid w:val="00997558"/>
    <w:rsid w:val="009A0110"/>
    <w:rsid w:val="009A2567"/>
    <w:rsid w:val="009A3BC0"/>
    <w:rsid w:val="009A4C34"/>
    <w:rsid w:val="009B7318"/>
    <w:rsid w:val="009C1D49"/>
    <w:rsid w:val="009C3A32"/>
    <w:rsid w:val="009C434E"/>
    <w:rsid w:val="009C5A65"/>
    <w:rsid w:val="009C6D92"/>
    <w:rsid w:val="009D17CF"/>
    <w:rsid w:val="009E05ED"/>
    <w:rsid w:val="009E0A49"/>
    <w:rsid w:val="009E1AE7"/>
    <w:rsid w:val="009E1EDC"/>
    <w:rsid w:val="009E1F36"/>
    <w:rsid w:val="009E406E"/>
    <w:rsid w:val="009E788B"/>
    <w:rsid w:val="009F0B2B"/>
    <w:rsid w:val="009F69CB"/>
    <w:rsid w:val="00A05610"/>
    <w:rsid w:val="00A06385"/>
    <w:rsid w:val="00A109BF"/>
    <w:rsid w:val="00A12F18"/>
    <w:rsid w:val="00A166CA"/>
    <w:rsid w:val="00A17B0C"/>
    <w:rsid w:val="00A21C51"/>
    <w:rsid w:val="00A22C8F"/>
    <w:rsid w:val="00A23484"/>
    <w:rsid w:val="00A27119"/>
    <w:rsid w:val="00A31294"/>
    <w:rsid w:val="00A34B0C"/>
    <w:rsid w:val="00A377DA"/>
    <w:rsid w:val="00A46A53"/>
    <w:rsid w:val="00A544D9"/>
    <w:rsid w:val="00A619DA"/>
    <w:rsid w:val="00A630C9"/>
    <w:rsid w:val="00A631CD"/>
    <w:rsid w:val="00A702FA"/>
    <w:rsid w:val="00A76439"/>
    <w:rsid w:val="00A80484"/>
    <w:rsid w:val="00A808B2"/>
    <w:rsid w:val="00A860A9"/>
    <w:rsid w:val="00A86AE5"/>
    <w:rsid w:val="00A87674"/>
    <w:rsid w:val="00A9041D"/>
    <w:rsid w:val="00A926C8"/>
    <w:rsid w:val="00A93FFA"/>
    <w:rsid w:val="00A940C7"/>
    <w:rsid w:val="00A9534F"/>
    <w:rsid w:val="00A96D49"/>
    <w:rsid w:val="00A97310"/>
    <w:rsid w:val="00AA0EDB"/>
    <w:rsid w:val="00AA2C0F"/>
    <w:rsid w:val="00AA4C53"/>
    <w:rsid w:val="00AA5C67"/>
    <w:rsid w:val="00AA5CF7"/>
    <w:rsid w:val="00AB55B9"/>
    <w:rsid w:val="00AC29FF"/>
    <w:rsid w:val="00AC3552"/>
    <w:rsid w:val="00AC38FC"/>
    <w:rsid w:val="00AC4D09"/>
    <w:rsid w:val="00AC54D5"/>
    <w:rsid w:val="00AC61B2"/>
    <w:rsid w:val="00AD050C"/>
    <w:rsid w:val="00AD356B"/>
    <w:rsid w:val="00AD398D"/>
    <w:rsid w:val="00AD4E5C"/>
    <w:rsid w:val="00AE38AC"/>
    <w:rsid w:val="00AE4A5C"/>
    <w:rsid w:val="00AE5900"/>
    <w:rsid w:val="00AF08C3"/>
    <w:rsid w:val="00AF34DB"/>
    <w:rsid w:val="00AF39EC"/>
    <w:rsid w:val="00AF48D2"/>
    <w:rsid w:val="00AF5423"/>
    <w:rsid w:val="00AF5954"/>
    <w:rsid w:val="00AF5BC7"/>
    <w:rsid w:val="00B13C5D"/>
    <w:rsid w:val="00B165F6"/>
    <w:rsid w:val="00B20B9C"/>
    <w:rsid w:val="00B228F9"/>
    <w:rsid w:val="00B22D0D"/>
    <w:rsid w:val="00B25042"/>
    <w:rsid w:val="00B31E46"/>
    <w:rsid w:val="00B344A7"/>
    <w:rsid w:val="00B366E5"/>
    <w:rsid w:val="00B37FC2"/>
    <w:rsid w:val="00B37FE5"/>
    <w:rsid w:val="00B41443"/>
    <w:rsid w:val="00B416BC"/>
    <w:rsid w:val="00B4341E"/>
    <w:rsid w:val="00B43CBB"/>
    <w:rsid w:val="00B4686D"/>
    <w:rsid w:val="00B55171"/>
    <w:rsid w:val="00B6514B"/>
    <w:rsid w:val="00B65D07"/>
    <w:rsid w:val="00B80C53"/>
    <w:rsid w:val="00B81F7D"/>
    <w:rsid w:val="00B844A7"/>
    <w:rsid w:val="00B84B8D"/>
    <w:rsid w:val="00B86239"/>
    <w:rsid w:val="00B87A6C"/>
    <w:rsid w:val="00B9361F"/>
    <w:rsid w:val="00B96914"/>
    <w:rsid w:val="00B9709B"/>
    <w:rsid w:val="00BA35F0"/>
    <w:rsid w:val="00BA3EF3"/>
    <w:rsid w:val="00BB05F8"/>
    <w:rsid w:val="00BB393C"/>
    <w:rsid w:val="00BB3DD9"/>
    <w:rsid w:val="00BB4F11"/>
    <w:rsid w:val="00BB7394"/>
    <w:rsid w:val="00BC12F9"/>
    <w:rsid w:val="00BC169A"/>
    <w:rsid w:val="00BC584D"/>
    <w:rsid w:val="00BC7000"/>
    <w:rsid w:val="00BD1650"/>
    <w:rsid w:val="00BD289D"/>
    <w:rsid w:val="00BD28F5"/>
    <w:rsid w:val="00BD541A"/>
    <w:rsid w:val="00BD7B65"/>
    <w:rsid w:val="00BE5377"/>
    <w:rsid w:val="00BE6DEA"/>
    <w:rsid w:val="00BF03B3"/>
    <w:rsid w:val="00BF3A62"/>
    <w:rsid w:val="00BF7119"/>
    <w:rsid w:val="00C1046E"/>
    <w:rsid w:val="00C1133B"/>
    <w:rsid w:val="00C143FF"/>
    <w:rsid w:val="00C161FF"/>
    <w:rsid w:val="00C20D07"/>
    <w:rsid w:val="00C26C66"/>
    <w:rsid w:val="00C31237"/>
    <w:rsid w:val="00C3189A"/>
    <w:rsid w:val="00C33C28"/>
    <w:rsid w:val="00C34D9F"/>
    <w:rsid w:val="00C35006"/>
    <w:rsid w:val="00C35AF1"/>
    <w:rsid w:val="00C41861"/>
    <w:rsid w:val="00C41DFC"/>
    <w:rsid w:val="00C4202C"/>
    <w:rsid w:val="00C46734"/>
    <w:rsid w:val="00C51D74"/>
    <w:rsid w:val="00C52E81"/>
    <w:rsid w:val="00C5314B"/>
    <w:rsid w:val="00C553FB"/>
    <w:rsid w:val="00C605D1"/>
    <w:rsid w:val="00C642CE"/>
    <w:rsid w:val="00C64E00"/>
    <w:rsid w:val="00C808E6"/>
    <w:rsid w:val="00C84D40"/>
    <w:rsid w:val="00C85737"/>
    <w:rsid w:val="00C873C9"/>
    <w:rsid w:val="00C94B72"/>
    <w:rsid w:val="00CA5296"/>
    <w:rsid w:val="00CA7331"/>
    <w:rsid w:val="00CB0DDA"/>
    <w:rsid w:val="00CB2B32"/>
    <w:rsid w:val="00CB415D"/>
    <w:rsid w:val="00CB62E7"/>
    <w:rsid w:val="00CB7208"/>
    <w:rsid w:val="00CC2366"/>
    <w:rsid w:val="00CC36A1"/>
    <w:rsid w:val="00CC3F7D"/>
    <w:rsid w:val="00CC5848"/>
    <w:rsid w:val="00CC5F6C"/>
    <w:rsid w:val="00CC7AF2"/>
    <w:rsid w:val="00CD3876"/>
    <w:rsid w:val="00CD3C00"/>
    <w:rsid w:val="00CD71A2"/>
    <w:rsid w:val="00CE1601"/>
    <w:rsid w:val="00CE3524"/>
    <w:rsid w:val="00CE5BED"/>
    <w:rsid w:val="00CF1475"/>
    <w:rsid w:val="00CF182A"/>
    <w:rsid w:val="00D00D94"/>
    <w:rsid w:val="00D0405C"/>
    <w:rsid w:val="00D07336"/>
    <w:rsid w:val="00D07417"/>
    <w:rsid w:val="00D07D02"/>
    <w:rsid w:val="00D26201"/>
    <w:rsid w:val="00D30E76"/>
    <w:rsid w:val="00D371D9"/>
    <w:rsid w:val="00D40317"/>
    <w:rsid w:val="00D417E3"/>
    <w:rsid w:val="00D4391D"/>
    <w:rsid w:val="00D43FA7"/>
    <w:rsid w:val="00D452AD"/>
    <w:rsid w:val="00D60405"/>
    <w:rsid w:val="00D60D01"/>
    <w:rsid w:val="00D618FF"/>
    <w:rsid w:val="00D82D1A"/>
    <w:rsid w:val="00D82FD2"/>
    <w:rsid w:val="00D90B7C"/>
    <w:rsid w:val="00D91F10"/>
    <w:rsid w:val="00D933A7"/>
    <w:rsid w:val="00D95081"/>
    <w:rsid w:val="00D96A8F"/>
    <w:rsid w:val="00D9797F"/>
    <w:rsid w:val="00DA0304"/>
    <w:rsid w:val="00DA382F"/>
    <w:rsid w:val="00DB0489"/>
    <w:rsid w:val="00DB1F8E"/>
    <w:rsid w:val="00DB7E19"/>
    <w:rsid w:val="00DC3A90"/>
    <w:rsid w:val="00DC67E3"/>
    <w:rsid w:val="00DC6854"/>
    <w:rsid w:val="00DD22FD"/>
    <w:rsid w:val="00DD3843"/>
    <w:rsid w:val="00DD40F8"/>
    <w:rsid w:val="00DD576F"/>
    <w:rsid w:val="00DD67E2"/>
    <w:rsid w:val="00DD6B1B"/>
    <w:rsid w:val="00DE2152"/>
    <w:rsid w:val="00DE57FD"/>
    <w:rsid w:val="00DE6C40"/>
    <w:rsid w:val="00DE720C"/>
    <w:rsid w:val="00DE7317"/>
    <w:rsid w:val="00DF1401"/>
    <w:rsid w:val="00DF161D"/>
    <w:rsid w:val="00DF236E"/>
    <w:rsid w:val="00DF3BF2"/>
    <w:rsid w:val="00DF5B15"/>
    <w:rsid w:val="00DF5D89"/>
    <w:rsid w:val="00E02AAF"/>
    <w:rsid w:val="00E051B3"/>
    <w:rsid w:val="00E21F52"/>
    <w:rsid w:val="00E229E5"/>
    <w:rsid w:val="00E27174"/>
    <w:rsid w:val="00E3099E"/>
    <w:rsid w:val="00E356E9"/>
    <w:rsid w:val="00E405C7"/>
    <w:rsid w:val="00E41606"/>
    <w:rsid w:val="00E423EB"/>
    <w:rsid w:val="00E42F3F"/>
    <w:rsid w:val="00E466AA"/>
    <w:rsid w:val="00E4675A"/>
    <w:rsid w:val="00E50197"/>
    <w:rsid w:val="00E506F5"/>
    <w:rsid w:val="00E51064"/>
    <w:rsid w:val="00E52192"/>
    <w:rsid w:val="00E53596"/>
    <w:rsid w:val="00E609A1"/>
    <w:rsid w:val="00E60AA5"/>
    <w:rsid w:val="00E77D45"/>
    <w:rsid w:val="00E83587"/>
    <w:rsid w:val="00E837C6"/>
    <w:rsid w:val="00E91203"/>
    <w:rsid w:val="00E912C9"/>
    <w:rsid w:val="00E9330E"/>
    <w:rsid w:val="00E9384B"/>
    <w:rsid w:val="00E948A5"/>
    <w:rsid w:val="00E974B6"/>
    <w:rsid w:val="00EA301D"/>
    <w:rsid w:val="00EA7E9D"/>
    <w:rsid w:val="00EB5C43"/>
    <w:rsid w:val="00EC0058"/>
    <w:rsid w:val="00EC041B"/>
    <w:rsid w:val="00EC0A3F"/>
    <w:rsid w:val="00EC0A65"/>
    <w:rsid w:val="00EC13EA"/>
    <w:rsid w:val="00EC6202"/>
    <w:rsid w:val="00EC6AE3"/>
    <w:rsid w:val="00ED5505"/>
    <w:rsid w:val="00ED6592"/>
    <w:rsid w:val="00EE3001"/>
    <w:rsid w:val="00EE40BE"/>
    <w:rsid w:val="00EE434E"/>
    <w:rsid w:val="00EE4810"/>
    <w:rsid w:val="00EF52D7"/>
    <w:rsid w:val="00EF58B2"/>
    <w:rsid w:val="00EF59E3"/>
    <w:rsid w:val="00EF655F"/>
    <w:rsid w:val="00F01849"/>
    <w:rsid w:val="00F023C2"/>
    <w:rsid w:val="00F04831"/>
    <w:rsid w:val="00F10C3E"/>
    <w:rsid w:val="00F1186E"/>
    <w:rsid w:val="00F11F27"/>
    <w:rsid w:val="00F12ACB"/>
    <w:rsid w:val="00F139C3"/>
    <w:rsid w:val="00F14600"/>
    <w:rsid w:val="00F14A36"/>
    <w:rsid w:val="00F24BC4"/>
    <w:rsid w:val="00F251EA"/>
    <w:rsid w:val="00F25CF4"/>
    <w:rsid w:val="00F2757C"/>
    <w:rsid w:val="00F34383"/>
    <w:rsid w:val="00F37261"/>
    <w:rsid w:val="00F40899"/>
    <w:rsid w:val="00F46A78"/>
    <w:rsid w:val="00F47ECA"/>
    <w:rsid w:val="00F506C1"/>
    <w:rsid w:val="00F53F06"/>
    <w:rsid w:val="00F54ED0"/>
    <w:rsid w:val="00F561C7"/>
    <w:rsid w:val="00F57547"/>
    <w:rsid w:val="00F6110B"/>
    <w:rsid w:val="00F637D2"/>
    <w:rsid w:val="00F6409D"/>
    <w:rsid w:val="00F667C3"/>
    <w:rsid w:val="00F66B38"/>
    <w:rsid w:val="00F672AF"/>
    <w:rsid w:val="00F71D2E"/>
    <w:rsid w:val="00F731C1"/>
    <w:rsid w:val="00F739DD"/>
    <w:rsid w:val="00F76B92"/>
    <w:rsid w:val="00F80CAE"/>
    <w:rsid w:val="00F83779"/>
    <w:rsid w:val="00F92B1E"/>
    <w:rsid w:val="00FA5D6A"/>
    <w:rsid w:val="00FB370E"/>
    <w:rsid w:val="00FC04A2"/>
    <w:rsid w:val="00FC652D"/>
    <w:rsid w:val="00FC67D4"/>
    <w:rsid w:val="00FE0BF7"/>
    <w:rsid w:val="00FE4D8C"/>
    <w:rsid w:val="00FF124B"/>
    <w:rsid w:val="00FF2BC8"/>
    <w:rsid w:val="00FF7192"/>
    <w:rsid w:val="00FF72A9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B296A"/>
  <w15:docId w15:val="{4BEA1270-D874-41A1-AFA9-C57385F5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326BC0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F83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2F83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85737"/>
    <w:pPr>
      <w:spacing w:before="100" w:beforeAutospacing="1" w:after="100" w:afterAutospacing="1"/>
      <w:outlineLvl w:val="2"/>
    </w:pPr>
    <w:rPr>
      <w:rFonts w:ascii="Calibri" w:hAnsi="Calibri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6840"/>
    <w:pPr>
      <w:keepNext/>
      <w:keepLines/>
      <w:spacing w:before="4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link w:val="ColorfulList-Accent1Char"/>
    <w:uiPriority w:val="34"/>
    <w:qFormat/>
    <w:rsid w:val="00A166CA"/>
    <w:pPr>
      <w:ind w:left="720"/>
      <w:contextualSpacing/>
    </w:pPr>
  </w:style>
  <w:style w:type="character" w:styleId="Hyperlink">
    <w:name w:val="Hyperlink"/>
    <w:uiPriority w:val="99"/>
    <w:unhideWhenUsed/>
    <w:rsid w:val="00A166C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66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6CA"/>
  </w:style>
  <w:style w:type="paragraph" w:styleId="Footer">
    <w:name w:val="footer"/>
    <w:basedOn w:val="Normal"/>
    <w:link w:val="FooterChar"/>
    <w:uiPriority w:val="99"/>
    <w:unhideWhenUsed/>
    <w:rsid w:val="00A166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6CA"/>
  </w:style>
  <w:style w:type="paragraph" w:styleId="BalloonText">
    <w:name w:val="Balloon Text"/>
    <w:basedOn w:val="Normal"/>
    <w:link w:val="BalloonTextChar"/>
    <w:uiPriority w:val="99"/>
    <w:semiHidden/>
    <w:unhideWhenUsed/>
    <w:rsid w:val="00A1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66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6AE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C6AE3"/>
    <w:rPr>
      <w:sz w:val="20"/>
      <w:szCs w:val="20"/>
    </w:rPr>
  </w:style>
  <w:style w:type="character" w:styleId="FootnoteReference">
    <w:name w:val="footnote reference"/>
    <w:aliases w:val="(NECG) Footnote Reference"/>
    <w:uiPriority w:val="99"/>
    <w:semiHidden/>
    <w:unhideWhenUsed/>
    <w:rsid w:val="00EC6AE3"/>
    <w:rPr>
      <w:vertAlign w:val="superscript"/>
    </w:rPr>
  </w:style>
  <w:style w:type="paragraph" w:customStyle="1" w:styleId="Default">
    <w:name w:val="Default"/>
    <w:rsid w:val="00C1133B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link w:val="Heading3"/>
    <w:uiPriority w:val="9"/>
    <w:rsid w:val="00C85737"/>
    <w:rPr>
      <w:rFonts w:ascii="Calibri" w:hAnsi="Calibri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C85737"/>
  </w:style>
  <w:style w:type="paragraph" w:customStyle="1" w:styleId="FSCtMain">
    <w:name w:val="FSC_t_Main"/>
    <w:basedOn w:val="Normal"/>
    <w:rsid w:val="008C2F83"/>
    <w:pPr>
      <w:widowControl w:val="0"/>
      <w:tabs>
        <w:tab w:val="left" w:pos="1134"/>
      </w:tabs>
      <w:spacing w:before="120" w:after="120"/>
      <w:ind w:left="1701" w:hanging="1701"/>
    </w:pPr>
    <w:rPr>
      <w:rFonts w:ascii="Arial" w:eastAsia="Times New Roman" w:hAnsi="Arial" w:cs="Arial"/>
      <w:iCs/>
      <w:sz w:val="20"/>
      <w:lang w:val="en-GB" w:eastAsia="en-AU"/>
    </w:rPr>
  </w:style>
  <w:style w:type="paragraph" w:customStyle="1" w:styleId="FSCh5Section">
    <w:name w:val="FSC_h5_Section"/>
    <w:basedOn w:val="Normal"/>
    <w:next w:val="FSCtMain"/>
    <w:qFormat/>
    <w:rsid w:val="008C2F83"/>
    <w:pPr>
      <w:keepNext/>
      <w:widowControl w:val="0"/>
      <w:spacing w:before="240" w:after="120"/>
      <w:ind w:left="1701" w:hanging="1701"/>
      <w:outlineLvl w:val="4"/>
    </w:pPr>
    <w:rPr>
      <w:rFonts w:ascii="Arial" w:eastAsia="Times New Roman" w:hAnsi="Arial"/>
      <w:b/>
      <w:bCs/>
      <w:kern w:val="32"/>
      <w:lang w:val="en-GB" w:eastAsia="en-AU"/>
    </w:rPr>
  </w:style>
  <w:style w:type="paragraph" w:customStyle="1" w:styleId="FSCtDefn">
    <w:name w:val="FSC_t_Defn"/>
    <w:basedOn w:val="FSCtMain"/>
    <w:rsid w:val="008C2F83"/>
    <w:pPr>
      <w:ind w:firstLine="0"/>
    </w:pPr>
  </w:style>
  <w:style w:type="paragraph" w:customStyle="1" w:styleId="FSCtPara">
    <w:name w:val="FSC_t_Para"/>
    <w:basedOn w:val="FSCtMain"/>
    <w:qFormat/>
    <w:rsid w:val="008C2F83"/>
    <w:pPr>
      <w:tabs>
        <w:tab w:val="clear" w:pos="1134"/>
        <w:tab w:val="left" w:pos="1701"/>
      </w:tabs>
      <w:spacing w:before="60" w:after="60"/>
      <w:ind w:left="2268" w:hanging="2268"/>
    </w:pPr>
  </w:style>
  <w:style w:type="paragraph" w:customStyle="1" w:styleId="FSCtSubpara">
    <w:name w:val="FSC_t_Subpara"/>
    <w:basedOn w:val="FSCtMain"/>
    <w:qFormat/>
    <w:rsid w:val="008C2F83"/>
    <w:pPr>
      <w:tabs>
        <w:tab w:val="clear" w:pos="1134"/>
        <w:tab w:val="left" w:pos="2268"/>
      </w:tabs>
      <w:spacing w:before="60" w:after="60"/>
      <w:ind w:left="2835" w:hanging="2835"/>
    </w:pPr>
  </w:style>
  <w:style w:type="character" w:customStyle="1" w:styleId="Heading1Char">
    <w:name w:val="Heading 1 Char"/>
    <w:link w:val="Heading1"/>
    <w:uiPriority w:val="9"/>
    <w:rsid w:val="008C2F8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">
    <w:name w:val="Heading 2 Char"/>
    <w:link w:val="Heading2"/>
    <w:uiPriority w:val="9"/>
    <w:rsid w:val="008C2F83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UnresolvedMention1">
    <w:name w:val="Unresolved Mention1"/>
    <w:uiPriority w:val="99"/>
    <w:semiHidden/>
    <w:unhideWhenUsed/>
    <w:rsid w:val="007D12B6"/>
    <w:rPr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unhideWhenUsed/>
    <w:rsid w:val="004B4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42C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B42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2C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B42CF"/>
    <w:rPr>
      <w:b/>
      <w:bCs/>
      <w:sz w:val="20"/>
      <w:szCs w:val="20"/>
    </w:rPr>
  </w:style>
  <w:style w:type="paragraph" w:styleId="ListBullet">
    <w:name w:val="List Bullet"/>
    <w:basedOn w:val="Normal"/>
    <w:uiPriority w:val="1"/>
    <w:unhideWhenUsed/>
    <w:qFormat/>
    <w:rsid w:val="00F01849"/>
    <w:pPr>
      <w:numPr>
        <w:numId w:val="1"/>
      </w:numPr>
      <w:spacing w:before="120" w:after="180"/>
      <w:ind w:left="425" w:hanging="425"/>
    </w:pPr>
    <w:rPr>
      <w:rFonts w:ascii="Cambria" w:eastAsia="Cambria" w:hAnsi="Cambria"/>
      <w:szCs w:val="20"/>
    </w:rPr>
  </w:style>
  <w:style w:type="paragraph" w:styleId="ListBullet2">
    <w:name w:val="List Bullet 2"/>
    <w:basedOn w:val="Normal"/>
    <w:uiPriority w:val="1"/>
    <w:semiHidden/>
    <w:unhideWhenUsed/>
    <w:qFormat/>
    <w:rsid w:val="00F01849"/>
    <w:pPr>
      <w:numPr>
        <w:ilvl w:val="1"/>
        <w:numId w:val="1"/>
      </w:numPr>
      <w:spacing w:before="120" w:after="180"/>
      <w:ind w:left="850" w:hanging="425"/>
    </w:pPr>
    <w:rPr>
      <w:rFonts w:ascii="Cambria" w:eastAsia="Cambria" w:hAnsi="Cambria"/>
      <w:szCs w:val="20"/>
    </w:rPr>
  </w:style>
  <w:style w:type="paragraph" w:styleId="ListBullet3">
    <w:name w:val="List Bullet 3"/>
    <w:basedOn w:val="Normal"/>
    <w:uiPriority w:val="1"/>
    <w:semiHidden/>
    <w:unhideWhenUsed/>
    <w:qFormat/>
    <w:rsid w:val="00F01849"/>
    <w:pPr>
      <w:numPr>
        <w:ilvl w:val="2"/>
        <w:numId w:val="1"/>
      </w:numPr>
      <w:spacing w:before="120" w:after="180"/>
      <w:ind w:left="1276" w:hanging="425"/>
    </w:pPr>
    <w:rPr>
      <w:rFonts w:ascii="Cambria" w:eastAsia="Cambria" w:hAnsi="Cambria"/>
      <w:szCs w:val="20"/>
    </w:rPr>
  </w:style>
  <w:style w:type="numbering" w:customStyle="1" w:styleId="ListBullets">
    <w:name w:val="ListBullets"/>
    <w:uiPriority w:val="99"/>
    <w:rsid w:val="00F01849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BB4F11"/>
    <w:pPr>
      <w:spacing w:before="100" w:beforeAutospacing="1" w:after="100" w:afterAutospacing="1"/>
    </w:pPr>
    <w:rPr>
      <w:rFonts w:eastAsia="Times New Roman"/>
      <w:lang w:eastAsia="en-AU"/>
    </w:rPr>
  </w:style>
  <w:style w:type="character" w:styleId="Strong">
    <w:name w:val="Strong"/>
    <w:uiPriority w:val="22"/>
    <w:qFormat/>
    <w:rsid w:val="005537DC"/>
    <w:rPr>
      <w:b/>
      <w:bCs/>
    </w:rPr>
  </w:style>
  <w:style w:type="character" w:customStyle="1" w:styleId="Heading4Char">
    <w:name w:val="Heading 4 Char"/>
    <w:link w:val="Heading4"/>
    <w:uiPriority w:val="9"/>
    <w:rsid w:val="007F6840"/>
    <w:rPr>
      <w:rFonts w:ascii="Cambria" w:eastAsia="Times New Roman" w:hAnsi="Cambria" w:cs="Times New Roman"/>
      <w:i/>
      <w:iCs/>
      <w:color w:val="365F91"/>
    </w:rPr>
  </w:style>
  <w:style w:type="character" w:customStyle="1" w:styleId="element-invisible">
    <w:name w:val="element-invisible"/>
    <w:basedOn w:val="DefaultParagraphFont"/>
    <w:rsid w:val="007F6840"/>
  </w:style>
  <w:style w:type="table" w:styleId="GridTable4">
    <w:name w:val="Grid Table 4"/>
    <w:basedOn w:val="TableNormal"/>
    <w:uiPriority w:val="41"/>
    <w:rsid w:val="007F6840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0"/>
    <w:rsid w:val="007F68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pubtitle">
    <w:name w:val="pubtitle"/>
    <w:basedOn w:val="DefaultParagraphFont"/>
    <w:rsid w:val="00F34383"/>
  </w:style>
  <w:style w:type="paragraph" w:customStyle="1" w:styleId="p1">
    <w:name w:val="p1"/>
    <w:basedOn w:val="Normal"/>
    <w:rsid w:val="007A78CC"/>
    <w:rPr>
      <w:rFonts w:ascii="Calibri" w:hAnsi="Calibri"/>
      <w:sz w:val="18"/>
      <w:szCs w:val="18"/>
    </w:rPr>
  </w:style>
  <w:style w:type="paragraph" w:customStyle="1" w:styleId="p2">
    <w:name w:val="p2"/>
    <w:basedOn w:val="Normal"/>
    <w:rsid w:val="007A78CC"/>
    <w:rPr>
      <w:rFonts w:ascii="Calibri" w:hAnsi="Calibri"/>
      <w:sz w:val="21"/>
      <w:szCs w:val="21"/>
    </w:rPr>
  </w:style>
  <w:style w:type="paragraph" w:customStyle="1" w:styleId="p3">
    <w:name w:val="p3"/>
    <w:basedOn w:val="Normal"/>
    <w:rsid w:val="007A78CC"/>
    <w:rPr>
      <w:rFonts w:ascii="Calibri" w:hAnsi="Calibri"/>
      <w:sz w:val="20"/>
      <w:szCs w:val="20"/>
    </w:rPr>
  </w:style>
  <w:style w:type="character" w:styleId="FollowedHyperlink">
    <w:name w:val="FollowedHyperlink"/>
    <w:uiPriority w:val="99"/>
    <w:semiHidden/>
    <w:unhideWhenUsed/>
    <w:rsid w:val="00AA4C53"/>
    <w:rPr>
      <w:color w:val="800080"/>
      <w:u w:val="single"/>
    </w:rPr>
  </w:style>
  <w:style w:type="character" w:customStyle="1" w:styleId="UnresolvedMention2">
    <w:name w:val="Unresolved Mention2"/>
    <w:uiPriority w:val="99"/>
    <w:semiHidden/>
    <w:unhideWhenUsed/>
    <w:rsid w:val="00701CF9"/>
    <w:rPr>
      <w:color w:val="808080"/>
      <w:shd w:val="clear" w:color="auto" w:fill="E6E6E6"/>
    </w:rPr>
  </w:style>
  <w:style w:type="table" w:styleId="GridTable4-Accent4">
    <w:name w:val="Grid Table 4 Accent 4"/>
    <w:basedOn w:val="TableNormal"/>
    <w:uiPriority w:val="47"/>
    <w:rsid w:val="00E52192"/>
    <w:rPr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TableGrid">
    <w:name w:val="Table Grid"/>
    <w:basedOn w:val="TableNormal"/>
    <w:uiPriority w:val="59"/>
    <w:rsid w:val="00BF3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fulList-Accent1Char">
    <w:name w:val="Colorful List - Accent 1 Char"/>
    <w:link w:val="ColorfulList-Accent11"/>
    <w:uiPriority w:val="34"/>
    <w:locked/>
    <w:rsid w:val="000652D4"/>
    <w:rPr>
      <w:rFonts w:ascii="Times New Roman" w:hAnsi="Times New Roman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6C2982"/>
    <w:rPr>
      <w:i/>
      <w:iCs/>
    </w:rPr>
  </w:style>
  <w:style w:type="character" w:styleId="UnresolvedMention">
    <w:name w:val="Unresolved Mention"/>
    <w:uiPriority w:val="47"/>
    <w:rsid w:val="006C29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D7F7F"/>
    <w:pPr>
      <w:ind w:left="720"/>
    </w:pPr>
    <w:rPr>
      <w:rFonts w:ascii="Calibri" w:hAnsi="Calibri" w:cs="Calibri"/>
      <w:sz w:val="22"/>
      <w:szCs w:val="22"/>
    </w:rPr>
  </w:style>
  <w:style w:type="paragraph" w:customStyle="1" w:styleId="tableheading">
    <w:name w:val="tableheading"/>
    <w:basedOn w:val="Normal"/>
    <w:rsid w:val="00BA3EF3"/>
    <w:pPr>
      <w:spacing w:before="100" w:beforeAutospacing="1" w:after="100" w:afterAutospacing="1"/>
    </w:pPr>
    <w:rPr>
      <w:rFonts w:eastAsia="Times New Roman"/>
      <w:lang w:eastAsia="en-AU"/>
    </w:rPr>
  </w:style>
  <w:style w:type="paragraph" w:customStyle="1" w:styleId="tabletext">
    <w:name w:val="tabletext"/>
    <w:basedOn w:val="Normal"/>
    <w:rsid w:val="00BA3EF3"/>
    <w:pPr>
      <w:spacing w:before="100" w:beforeAutospacing="1" w:after="100" w:afterAutospacing="1"/>
    </w:pPr>
    <w:rPr>
      <w:rFonts w:eastAsia="Times New Roman"/>
      <w:lang w:eastAsia="en-AU"/>
    </w:rPr>
  </w:style>
  <w:style w:type="paragraph" w:customStyle="1" w:styleId="Numberbullet0">
    <w:name w:val="Number bullet"/>
    <w:basedOn w:val="Normal"/>
    <w:rsid w:val="005F14A4"/>
    <w:pPr>
      <w:numPr>
        <w:numId w:val="2"/>
      </w:numPr>
      <w:spacing w:before="120" w:after="180" w:line="240" w:lineRule="atLeast"/>
      <w:ind w:left="284" w:hanging="284"/>
    </w:pPr>
    <w:rPr>
      <w:rFonts w:ascii="Cambria" w:eastAsiaTheme="minorHAnsi" w:hAnsi="Cambria" w:cs="Calibri"/>
      <w:sz w:val="22"/>
      <w:szCs w:val="22"/>
    </w:rPr>
  </w:style>
  <w:style w:type="paragraph" w:customStyle="1" w:styleId="Numberbullet2">
    <w:name w:val="Number bullet 2"/>
    <w:basedOn w:val="Normal"/>
    <w:rsid w:val="005F14A4"/>
    <w:pPr>
      <w:numPr>
        <w:ilvl w:val="1"/>
        <w:numId w:val="2"/>
      </w:numPr>
      <w:spacing w:before="120" w:after="180" w:line="240" w:lineRule="atLeast"/>
      <w:ind w:left="993" w:hanging="360"/>
    </w:pPr>
    <w:rPr>
      <w:rFonts w:ascii="Cambria" w:eastAsiaTheme="minorHAnsi" w:hAnsi="Cambria" w:cs="Calibri"/>
      <w:sz w:val="22"/>
      <w:szCs w:val="22"/>
    </w:rPr>
  </w:style>
  <w:style w:type="numbering" w:customStyle="1" w:styleId="NumberBullet">
    <w:name w:val="NumberBullet"/>
    <w:uiPriority w:val="99"/>
    <w:rsid w:val="005F14A4"/>
    <w:pPr>
      <w:numPr>
        <w:numId w:val="2"/>
      </w:numPr>
    </w:pPr>
  </w:style>
  <w:style w:type="character" w:styleId="HTMLCite">
    <w:name w:val="HTML Cite"/>
    <w:basedOn w:val="DefaultParagraphFont"/>
    <w:uiPriority w:val="99"/>
    <w:semiHidden/>
    <w:unhideWhenUsed/>
    <w:rsid w:val="008F2709"/>
    <w:rPr>
      <w:i/>
      <w:iCs/>
    </w:rPr>
  </w:style>
  <w:style w:type="table" w:customStyle="1" w:styleId="TableTGAblue">
    <w:name w:val="Table TGA blue"/>
    <w:basedOn w:val="TableNormal"/>
    <w:uiPriority w:val="99"/>
    <w:qFormat/>
    <w:rsid w:val="009E788B"/>
    <w:pPr>
      <w:spacing w:before="180" w:after="180"/>
    </w:pPr>
    <w:rPr>
      <w:rFonts w:ascii="Cambria" w:eastAsiaTheme="minorHAnsi" w:hAnsi="Cambria" w:cs="Calibri"/>
      <w:color w:val="000000"/>
      <w:sz w:val="22"/>
      <w:szCs w:val="21"/>
    </w:rPr>
    <w:tblPr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wordWrap/>
      </w:pPr>
      <w:rPr>
        <w:rFonts w:ascii="Cambria" w:hAnsi="Cambria" w:hint="default"/>
        <w:b/>
        <w:color w:val="FFFFFF"/>
        <w:sz w:val="22"/>
        <w:szCs w:val="22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  <w:shd w:val="clear" w:color="auto" w:fill="006DA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6672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9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51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43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87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8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ucy.Lang@cmaustralia.org.a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cy.Lang@cmaustralia.org.a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technical@cmaustralia.org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gov.au/Series/F2020L0101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F034E67B7C04288413FD496369308" ma:contentTypeVersion="13" ma:contentTypeDescription="Create a new document." ma:contentTypeScope="" ma:versionID="0d37ec9bc51b90fbabc8de5b814355e1">
  <xsd:schema xmlns:xsd="http://www.w3.org/2001/XMLSchema" xmlns:xs="http://www.w3.org/2001/XMLSchema" xmlns:p="http://schemas.microsoft.com/office/2006/metadata/properties" xmlns:ns3="9225d5ab-744a-45c8-bc4f-ed8c9abc079b" xmlns:ns4="8cfab9ad-9bc1-46ef-9c87-8755d97073e6" targetNamespace="http://schemas.microsoft.com/office/2006/metadata/properties" ma:root="true" ma:fieldsID="be8d63907564b7ec2a50399466a87c13" ns3:_="" ns4:_="">
    <xsd:import namespace="9225d5ab-744a-45c8-bc4f-ed8c9abc079b"/>
    <xsd:import namespace="8cfab9ad-9bc1-46ef-9c87-8755d97073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25d5ab-744a-45c8-bc4f-ed8c9abc07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ab9ad-9bc1-46ef-9c87-8755d97073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680B48-7EF5-4990-970F-F3DB4346C6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00CF8D-3449-4A02-84A7-0BA566413EEE}">
  <ds:schemaRefs>
    <ds:schemaRef ds:uri="9225d5ab-744a-45c8-bc4f-ed8c9abc079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fab9ad-9bc1-46ef-9c87-8755d97073e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5231D4-E6B7-4360-B623-E786750FB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E48ED8-846F-421D-B267-0A172275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25d5ab-744a-45c8-bc4f-ed8c9abc079b"/>
    <ds:schemaRef ds:uri="8cfab9ad-9bc1-46ef-9c87-8755d9707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1070</Words>
  <Characters>6100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7156</CharactersWithSpaces>
  <SharedDoc>false</SharedDoc>
  <HLinks>
    <vt:vector size="18" baseType="variant">
      <vt:variant>
        <vt:i4>7536665</vt:i4>
      </vt:variant>
      <vt:variant>
        <vt:i4>3</vt:i4>
      </vt:variant>
      <vt:variant>
        <vt:i4>0</vt:i4>
      </vt:variant>
      <vt:variant>
        <vt:i4>5</vt:i4>
      </vt:variant>
      <vt:variant>
        <vt:lpwstr>mailto:technical@cmaustralia.org.au</vt:lpwstr>
      </vt:variant>
      <vt:variant>
        <vt:lpwstr/>
      </vt:variant>
      <vt:variant>
        <vt:i4>917528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https://www.legislation.gov.au/Series/F2020L01018</vt:lpwstr>
      </vt:variant>
      <vt:variant>
        <vt:lpwstr/>
      </vt:variant>
      <vt:variant>
        <vt:i4>2228242</vt:i4>
      </vt:variant>
      <vt:variant>
        <vt:i4>0</vt:i4>
      </vt:variant>
      <vt:variant>
        <vt:i4>0</vt:i4>
      </vt:variant>
      <vt:variant>
        <vt:i4>5</vt:i4>
      </vt:variant>
      <vt:variant>
        <vt:lpwstr>mailto:Lucy.Lang@cmaustralia.org.au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Burchell</dc:creator>
  <cp:keywords/>
  <cp:lastModifiedBy>Lucille Lang</cp:lastModifiedBy>
  <cp:revision>38</cp:revision>
  <cp:lastPrinted>2020-08-17T22:07:00Z</cp:lastPrinted>
  <dcterms:created xsi:type="dcterms:W3CDTF">2020-08-17T18:20:00Z</dcterms:created>
  <dcterms:modified xsi:type="dcterms:W3CDTF">2020-08-17T22:07:00Z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0x010100F2CF034E67B7C04288413FD496369308</vt:lpwstr>
  </property>
</Properties>
</file>